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предельной штатной численности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оптимизации функционирования подведомственных Министерству сельского хозяйства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природных ресурсов Приднестровской Молдавской Республики организаций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
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
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
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3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192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«ПРИЛОЖЕНИЕ № 3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к Постановлению Правительства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Приднестровской Молдавской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Республики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августа 2017 года № 200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организаций,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подведомственных Министерству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Государственное учреждение «Республиканский гидрометеорологический центр» (103,75 штатной единицы).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Государственное учреждение «Республиканский ботанический сад» </w:t>
      </w:r>
      <w:r>
        <w:rPr/>
        <w:br/>
      </w:r>
      <w:r>
        <w:rPr>
          <w:rFonts w:ascii="times new roman;times" w:hAnsi="times new roman;times"/>
          <w:sz w:val="24"/>
        </w:rPr>
        <w:t>(35 штатных единиц).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Государственное учреждение «Республиканский центр ветеринарно-санитарного и фитосанитарного благополучия» (144,5 штатной единицы, находящиеся на бюджетном финансировании).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Государственное унитарное предприятие «Природоохранный центр».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Государственное унитарное предприятие «Геологоразведка».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Государственное унитарное предприятие «Республиканские оросительные системы».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Государственное унитарное предприятие «Приднестровский научно-исследовательский институт сельского хозяйства».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2%D0%B3%D1%83%D1%81%D1%82%D0%B0%202017%20%D0%B3%D0%BE%D0%B4%D0%B0%20%E2%84%96%2020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0A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%0A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0A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0A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5%20%D0%B0%D0%BF%D1%80%D0%B5%D0%BB%D1%8F%202024%20%D0%B3%D0%BE%D0%B4%D0%B0%20%E2%84%96%2019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489</Words>
  <Characters>2989</Characters>
  <CharactersWithSpaces>3508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