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24 февраля 2021 года № 51</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в области реализации средств электросвязи,</w:t>
      </w:r>
    </w:p>
    <w:p>
      <w:pPr>
        <w:pStyle w:val="BodyTextoutside-table"/>
        <w:bidi w:val="0"/>
        <w:spacing w:before="0" w:after="283"/>
        <w:ind w:firstLine="709" w:left="0" w:right="0"/>
        <w:jc w:val="center"/>
        <w:rPr/>
      </w:pPr>
      <w:r>
        <w:rPr>
          <w:rStyle w:val="Strong"/>
          <w:rFonts w:ascii="times new roman;times" w:hAnsi="times new roman;times"/>
          <w:sz w:val="24"/>
        </w:rPr>
        <w:t>содержащих радиоизлучающие средства, обуславливающих</w:t>
      </w:r>
    </w:p>
    <w:p>
      <w:pPr>
        <w:pStyle w:val="BodyTextoutside-table"/>
        <w:bidi w:val="0"/>
        <w:spacing w:before="0" w:after="283"/>
        <w:ind w:firstLine="709" w:left="0" w:right="0"/>
        <w:jc w:val="center"/>
        <w:rPr/>
      </w:pPr>
      <w:r>
        <w:rPr>
          <w:rStyle w:val="Strong"/>
          <w:rFonts w:ascii="times new roman;times" w:hAnsi="times new roman;times"/>
          <w:sz w:val="24"/>
        </w:rPr>
        <w:t>как получение услуг операторов электросвязи, имеющих лицензию,</w:t>
      </w:r>
    </w:p>
    <w:p>
      <w:pPr>
        <w:pStyle w:val="BodyTextoutside-table"/>
        <w:bidi w:val="0"/>
        <w:spacing w:before="0" w:after="283"/>
        <w:ind w:firstLine="709" w:left="0" w:right="0"/>
        <w:jc w:val="center"/>
        <w:rPr/>
      </w:pPr>
      <w:r>
        <w:rPr>
          <w:rStyle w:val="Strong"/>
          <w:rFonts w:ascii="times new roman;times" w:hAnsi="times new roman;times"/>
          <w:sz w:val="24"/>
        </w:rPr>
        <w:t>выданную исполнительным органом государственной власти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в области электросвязи,</w:t>
      </w:r>
    </w:p>
    <w:p>
      <w:pPr>
        <w:pStyle w:val="BodyTextoutside-table"/>
        <w:bidi w:val="0"/>
        <w:spacing w:before="0" w:after="283"/>
        <w:ind w:firstLine="709" w:left="0" w:right="0"/>
        <w:jc w:val="center"/>
        <w:rPr/>
      </w:pPr>
      <w:r>
        <w:rPr>
          <w:rStyle w:val="Strong"/>
          <w:rFonts w:ascii="times new roman;times" w:hAnsi="times new roman;times"/>
          <w:sz w:val="24"/>
        </w:rPr>
        <w:t xml:space="preserve">так и расширение сети таких операторов электросвязи, изделий, обеспечивающих активирование, </w:t>
      </w:r>
    </w:p>
    <w:p>
      <w:pPr>
        <w:pStyle w:val="BodyTextoutside-table"/>
        <w:bidi w:val="0"/>
        <w:spacing w:before="0" w:after="283"/>
        <w:ind w:firstLine="709" w:left="0" w:right="0"/>
        <w:jc w:val="center"/>
        <w:rPr/>
      </w:pPr>
      <w:r>
        <w:rPr>
          <w:rStyle w:val="Strong"/>
          <w:rFonts w:ascii="times new roman;times" w:hAnsi="times new roman;times"/>
          <w:sz w:val="24"/>
        </w:rPr>
        <w:t xml:space="preserve">идентификацию оконечного оборудования электросвязи, обуславливающих получение </w:t>
      </w:r>
    </w:p>
    <w:p>
      <w:pPr>
        <w:pStyle w:val="BodyTextoutside-table"/>
        <w:bidi w:val="0"/>
        <w:spacing w:before="0" w:after="283"/>
        <w:ind w:firstLine="709" w:left="0" w:right="0"/>
        <w:jc w:val="center"/>
        <w:rPr/>
      </w:pPr>
      <w:r>
        <w:rPr>
          <w:rStyle w:val="Strong"/>
          <w:rFonts w:ascii="times new roman;times" w:hAnsi="times new roman;times"/>
          <w:sz w:val="24"/>
        </w:rPr>
        <w:t>услуг указанных операторов электросвязи, обеспечивающих подтверждение внесения платы</w:t>
      </w:r>
    </w:p>
    <w:p>
      <w:pPr>
        <w:pStyle w:val="BodyTextoutside-table"/>
        <w:bidi w:val="0"/>
        <w:spacing w:before="0" w:after="283"/>
        <w:ind w:firstLine="709" w:left="0" w:right="0"/>
        <w:jc w:val="center"/>
        <w:rPr/>
      </w:pPr>
      <w:r>
        <w:rPr>
          <w:rStyle w:val="Strong"/>
          <w:rFonts w:ascii="times new roman;times" w:hAnsi="times new roman;times"/>
          <w:sz w:val="24"/>
        </w:rPr>
        <w:t>за услуги таких операторов электросвязи, за исключением реализации</w:t>
      </w:r>
    </w:p>
    <w:p>
      <w:pPr>
        <w:pStyle w:val="BodyTextoutside-table"/>
        <w:bidi w:val="0"/>
        <w:spacing w:before="0" w:after="283"/>
        <w:ind w:firstLine="709" w:left="0" w:right="0"/>
        <w:jc w:val="center"/>
        <w:rPr/>
      </w:pPr>
      <w:r>
        <w:rPr>
          <w:rStyle w:val="Strong"/>
          <w:rFonts w:ascii="times new roman;times" w:hAnsi="times new roman;times"/>
          <w:sz w:val="24"/>
        </w:rPr>
        <w:t>средств электросвязи, содержащих радиоизлучающие средства, обуславливающих как получение услуг операторов электросвязи,</w:t>
      </w:r>
    </w:p>
    <w:p>
      <w:pPr>
        <w:pStyle w:val="BodyTextoutside-table"/>
        <w:bidi w:val="0"/>
        <w:spacing w:before="0" w:after="283"/>
        <w:ind w:firstLine="709" w:left="0" w:right="0"/>
        <w:jc w:val="center"/>
        <w:rPr/>
      </w:pPr>
      <w:r>
        <w:rPr>
          <w:rStyle w:val="Strong"/>
          <w:rFonts w:ascii="times new roman;times" w:hAnsi="times new roman;times"/>
          <w:sz w:val="24"/>
        </w:rPr>
        <w:t>так и расширение сети оператора электросвязи, изделий,</w:t>
      </w:r>
    </w:p>
    <w:p>
      <w:pPr>
        <w:pStyle w:val="BodyTextoutside-table"/>
        <w:bidi w:val="0"/>
        <w:spacing w:before="0" w:after="283"/>
        <w:ind w:firstLine="709" w:left="0" w:right="0"/>
        <w:jc w:val="center"/>
        <w:rPr/>
      </w:pPr>
      <w:r>
        <w:rPr>
          <w:rStyle w:val="Strong"/>
          <w:rFonts w:ascii="times new roman;times" w:hAnsi="times new roman;times"/>
          <w:sz w:val="24"/>
        </w:rPr>
        <w:t xml:space="preserve">обеспечивающих активирование, идентификацию оконечного оборудования электросвязи, обуславливающих </w:t>
      </w:r>
    </w:p>
    <w:p>
      <w:pPr>
        <w:pStyle w:val="BodyTextoutside-table"/>
        <w:bidi w:val="0"/>
        <w:spacing w:before="0" w:after="283"/>
        <w:ind w:firstLine="709" w:left="0" w:right="0"/>
        <w:jc w:val="center"/>
        <w:rPr/>
      </w:pPr>
      <w:r>
        <w:rPr>
          <w:rStyle w:val="Strong"/>
          <w:rFonts w:ascii="times new roman;times" w:hAnsi="times new roman;times"/>
          <w:sz w:val="24"/>
        </w:rPr>
        <w:t>получение услуг оператора электросвязи, обеспечивающих подтверждение внесения платы за услуги</w:t>
      </w:r>
    </w:p>
    <w:p>
      <w:pPr>
        <w:pStyle w:val="BodyTextoutside-table"/>
        <w:bidi w:val="0"/>
        <w:spacing w:before="0" w:after="283"/>
        <w:ind w:firstLine="709" w:left="0" w:right="0"/>
        <w:jc w:val="center"/>
        <w:rPr/>
      </w:pPr>
      <w:r>
        <w:rPr>
          <w:rStyle w:val="Strong"/>
          <w:rFonts w:ascii="times new roman;times" w:hAnsi="times new roman;times"/>
          <w:sz w:val="24"/>
        </w:rPr>
        <w:t>оператора электросвязи, осуществляемой индивидуальными предпринимателями на условиях договора, заключенного</w:t>
      </w:r>
    </w:p>
    <w:p>
      <w:pPr>
        <w:pStyle w:val="BodyTextoutside-table"/>
        <w:bidi w:val="0"/>
        <w:spacing w:before="0" w:after="283"/>
        <w:ind w:firstLine="709" w:left="0" w:right="0"/>
        <w:jc w:val="center"/>
        <w:rPr/>
      </w:pPr>
      <w:r>
        <w:rPr>
          <w:rStyle w:val="Strong"/>
          <w:rFonts w:ascii="times new roman;times" w:hAnsi="times new roman;times"/>
          <w:sz w:val="24"/>
        </w:rPr>
        <w:t>с юридическим лицом, заключившим договор с оператором электросвязи</w:t>
      </w:r>
    </w:p>
    <w:p>
      <w:pPr>
        <w:pStyle w:val="BodyTextoutside-table"/>
        <w:bidi w:val="0"/>
        <w:spacing w:before="0" w:after="283"/>
        <w:ind w:firstLine="709" w:left="0" w:right="0"/>
        <w:jc w:val="center"/>
        <w:rPr/>
      </w:pPr>
      <w:r>
        <w:rPr>
          <w:rStyle w:val="Strong"/>
          <w:rFonts w:ascii="times new roman;times" w:hAnsi="times new roman;times"/>
          <w:sz w:val="24"/>
        </w:rPr>
        <w:t>и имеющим лицензию, выданную юридическому лицу</w:t>
      </w:r>
    </w:p>
    <w:p>
      <w:pPr>
        <w:pStyle w:val="BodyTextoutside-table"/>
        <w:bidi w:val="0"/>
        <w:spacing w:before="0" w:after="283"/>
        <w:ind w:firstLine="709" w:left="0" w:right="0"/>
        <w:jc w:val="center"/>
        <w:rPr/>
      </w:pPr>
      <w:r>
        <w:rPr>
          <w:rStyle w:val="Strong"/>
          <w:rFonts w:ascii="times new roman;times" w:hAnsi="times new roman;times"/>
          <w:sz w:val="24"/>
        </w:rPr>
        <w:t>в порядке, установленном законодательным актом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24-22)</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5">
        <w:r>
          <w:rPr>
            <w:rFonts w:ascii="times new roman;times" w:hAnsi="times new roman;times"/>
            <w:sz w:val="24"/>
            <w:color w:val="0563C1"/>
            <w:u w:val="single"/>
          </w:rPr>
          <w:t xml:space="preserve">от 24 февраля 2021 года № 51</w:t>
        </w:r>
      </w:hyperlink>
      <w:r>
        <w:rPr>
          <w:rFonts w:ascii="times new roman;times" w:hAnsi="times new roman;times"/>
          <w:sz w:val="24"/>
        </w:rPr>
        <w:t xml:space="preserve"> «Об утверждении Положения</w:t>
      </w:r>
    </w:p>
    <w:p>
      <w:pPr>
        <w:pStyle w:val="BodyTextoutside-table"/>
        <w:bidi w:val="0"/>
        <w:spacing w:before="0" w:after="283"/>
        <w:ind w:firstLine="709" w:left="0" w:right="0"/>
        <w:jc w:val="left"/>
        <w:rPr/>
      </w:pPr>
      <w:r>
        <w:rPr>
          <w:rFonts w:ascii="times new roman;times" w:hAnsi="times new roman;times"/>
          <w:sz w:val="24"/>
        </w:rPr>
        <w:t xml:space="preserve">о лицензировании деятельности в области реализации средств электросвязи, содержащих радиоизлучающие средства, обуславливающих как получение услуг операторов электросвязи, имеющих лицензию, выданную исполнительным органом государственной власти Приднестровской Молдавской Республики в области электросвязи, так и расширение сети таких операторов электросвязи, изделий, обеспечивающих активирование, идентификацию оконечного оборудования электросвязи, обуславливающих получение услуг указанных операторов электросвязи, обеспечивающих подтверждение внесения платы за услуги таких операторов электросвязи, </w:t>
      </w:r>
      <w:r>
        <w:rPr/>
        <w:t xml:space="preserve">
</w:t>
      </w:r>
      <w:r>
        <w:rPr>
          <w:rFonts w:ascii="times new roman;times" w:hAnsi="times new roman;times"/>
          <w:sz w:val="24"/>
        </w:rPr>
        <w:t xml:space="preserve">за исключением реализации средств электросвязи, содержащих радиоизлучающие средства, обуславливающих как получение услуг операторов электросвязи, так и расширение сети оператора электросвязи, изделий, обеспечивающих активирование, идентификацию оконечного оборудования электросвязи, обуславливающих получение услуг оператора электросвязи, обеспечивающих подтверждение внесения платы за услуги оператора электросвязи, осуществляемой индивидуальными предпринимателями </w:t>
      </w:r>
      <w:r>
        <w:rPr/>
        <w:t xml:space="preserve">
</w:t>
      </w:r>
      <w:r>
        <w:rPr>
          <w:rFonts w:ascii="times new roman;times" w:hAnsi="times new roman;times"/>
          <w:sz w:val="24"/>
        </w:rPr>
        <w:t xml:space="preserve">на условиях договора, заключенного с юридическим лицом, заключившим договор с оператором электросвязи и имеющим лицензию, выданную юридическому лицу в порядке, установленном законодательным актом Приднестровской Молдавской Республики» (САЗ 21-8) с изменениями, внесенными Постановлением Правительства Приднестровской Молдавской Республики </w:t>
      </w:r>
      <w:hyperlink r:id="rId26">
        <w:r>
          <w:rPr>
            <w:rFonts w:ascii="times new roman;times" w:hAnsi="times new roman;times"/>
            <w:sz w:val="24"/>
            <w:color w:val="0563C1"/>
            <w:u w:val="single"/>
          </w:rPr>
          <w:t xml:space="preserve">от 1 марта 2021 года № 59 (САЗ 21-9)</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14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После принятия органом, уполномоченным на оформление и выдачу лицензий, положительного решения о выдаче лицензии ее выдача производится в течение 1 (одного) рабочего дня со дня подтверждения оплаты лицензионного сбора за выдачу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«18. В случае преобразования юридического лица, изменения его наименования или места его нахождения, изменения адреса места осуществления юридическим лицом или индивидуальным предпринимателем лицензируемого вида деятельности, прекращения деятельности по одному адресу или нескольким адресам мест ее осуществления, указанным в лицензии, изменения места жительства, имени, фамилии и (в случае, если имеется) отчества индивидуального предпринимателя, утраты лицензии, а также </w:t>
      </w:r>
      <w:r>
        <w:rPr/>
        <w:t xml:space="preserve">
</w:t>
      </w:r>
      <w:r>
        <w:rPr>
          <w:rFonts w:ascii="times new roman;times" w:hAnsi="times new roman;times"/>
          <w:sz w:val="24"/>
        </w:rPr>
        <w:t xml:space="preserve">в случаях, предусмотренных статьей 19-2 Закона Приднестровской Молдавской Республики </w:t>
      </w:r>
      <w:hyperlink r:id="rId2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(его правопреемник) или индивидуальный предприниматель – обязан в течение </w:t>
      </w:r>
      <w:r>
        <w:rPr/>
        <w:t xml:space="preserve">
</w:t>
      </w:r>
      <w:r>
        <w:rPr>
          <w:rFonts w:ascii="times new roman;times" w:hAnsi="times new roman;times"/>
          <w:sz w:val="24"/>
        </w:rPr>
        <w:t xml:space="preserve">30 (тридцати) рабочих дней со дня государственной регистрации изменений, утраты лицензии подать в орган, уполномоченный на оформление и выдачу лицензий,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19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«19. 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w:t>
      </w:r>
      <w:r>
        <w:rPr/>
        <w:br/>
      </w:r>
      <w:r>
        <w:rPr>
          <w:rFonts w:ascii="times new roman;times" w:hAnsi="times new roman;times"/>
          <w:sz w:val="24"/>
        </w:rPr>
        <w:t>но не более 30 (тридцати) дней со дня его регистрации, а в случае утраты лицензии – на основании выданной органом, уполномоченным на оформление и выдачу лицензий, справки о приеме документов на переоформление лицензии.</w:t>
      </w:r>
    </w:p>
    <w:p>
      <w:pPr>
        <w:pStyle w:val="BodyTextoutside-table"/>
        <w:bidi w:val="0"/>
        <w:spacing w:before="0" w:after="283"/>
        <w:ind w:firstLine="709" w:left="0" w:right="0"/>
        <w:jc w:val="left"/>
        <w:rPr/>
      </w:pPr>
      <w:r>
        <w:rPr>
          <w:rFonts w:ascii="times new roman;times" w:hAnsi="times new roman;times"/>
          <w:sz w:val="24"/>
        </w:rPr>
        <w:t xml:space="preserve">До получения переоформленной лицензии лицензиат в случаях, предусмотренных подпунктами б), г), г-1), д), е) части первой пункта 1 статьи 11 Закона Приднестровской Молдавской Республики </w:t>
      </w:r>
      <w:hyperlink r:id="rId28">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осуществляет лицензируемую деятельность на основании ранее выданной лицензии, а в случае утраты лицензии – на основании выданной уполномоченным органом справки о приеме документов на переоформление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24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Срок действия лицензии не может быть менее 5 (пяти) лет.</w:t>
      </w:r>
    </w:p>
    <w:p>
      <w:pPr>
        <w:pStyle w:val="BodyTextoutside-table"/>
        <w:bidi w:val="0"/>
        <w:spacing w:before="0" w:after="283"/>
        <w:ind w:firstLine="709" w:left="0" w:right="0"/>
        <w:jc w:val="left"/>
        <w:rPr/>
      </w:pPr>
      <w:r>
        <w:rPr>
          <w:rFonts w:ascii="times new roman;times" w:hAnsi="times new roman;times"/>
          <w:sz w:val="24"/>
        </w:rPr>
        <w:t xml:space="preserve">Срок действия лицензии по его окончании может быть продлен </w:t>
      </w:r>
      <w:r>
        <w:rPr/>
        <w:br/>
      </w:r>
      <w:r>
        <w:rPr>
          <w:rFonts w:ascii="times new roman;times" w:hAnsi="times new roman;times"/>
          <w:sz w:val="24"/>
        </w:rPr>
        <w:t xml:space="preserve">по заявлению лицензиата. Продление срока действия лицензии осуществляется в порядке ее переоформления. Лицензиат обязан в течение 30 (тридцати) рабочих дней до дня окончания срока действия лицензии представить документы, подтверждающие право на осуществление лицензируемого вида деятельности, согласно исчерпывающему перечню документов </w:t>
      </w:r>
      <w:r>
        <w:rPr/>
        <w:br/>
      </w:r>
      <w:r>
        <w:rPr>
          <w:rFonts w:ascii="times new roman;times" w:hAnsi="times new roman;times"/>
          <w:sz w:val="24"/>
        </w:rPr>
        <w:t xml:space="preserve">по соответствующему виду деятельности. В ином случае продление срока действия лицензии осуществляется в порядке, установленном для выдачи новой лицензии. При продлении срока действия лицензия выдается не ранее чем </w:t>
      </w:r>
      <w:r>
        <w:rPr/>
        <w:br/>
      </w:r>
      <w:r>
        <w:rPr>
          <w:rFonts w:ascii="times new roman;times" w:hAnsi="times new roman;times"/>
          <w:sz w:val="24"/>
        </w:rPr>
        <w:t>в последний рабочий день действия прежде выданной лицензии.</w:t>
      </w:r>
    </w:p>
    <w:p>
      <w:pPr>
        <w:pStyle w:val="BodyTextoutside-table"/>
        <w:bidi w:val="0"/>
        <w:spacing w:before="0" w:after="283"/>
        <w:ind w:firstLine="709" w:left="0" w:right="0"/>
        <w:jc w:val="left"/>
        <w:rPr/>
      </w:pPr>
      <w:r>
        <w:rPr>
          <w:rFonts w:ascii="times new roman;times" w:hAnsi="times new roman;times"/>
          <w:sz w:val="24"/>
        </w:rPr>
        <w:t xml:space="preserve">В случае пропуска срока, установленного для подачи заявления </w:t>
      </w:r>
      <w:r>
        <w:rPr/>
        <w:br/>
      </w:r>
      <w:r>
        <w:rPr>
          <w:rFonts w:ascii="times new roman;times" w:hAnsi="times new roman;times"/>
          <w:sz w:val="24"/>
        </w:rPr>
        <w:t>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окончании срока действия лицензии 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4%20%D1%84%D0%B5%D0%B2%D1%80%D0%B0%D0%BB%D1%8F%202021%20%D0%B3%D0%BE%D0%B4%D0%B0%20%E2%84%96%2051"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2%29" TargetMode="External"/><Relationship Id="rId26" Type="http://schemas.openxmlformats.org/officeDocument/2006/relationships/hyperlink" Target="documents/search/doc-link/?q=%D0%BE%D1%82%201%20%D0%BC%D0%B0%D1%80%D1%82%D0%B0%202021%20%D0%B3%D0%BE%D0%B4%D0%B0%20%E2%84%96%2059%20%28%D0%A1%D0%90%D0%97%2021-9%29" TargetMode="External"/><Relationship Id="rId2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28" Type="http://schemas.openxmlformats.org/officeDocument/2006/relationships/hyperlink" Target="documents/search/doc-link/?q=%D0%BE%D1%82%2010%20%D0%B8%D1%8E%D0%BB%D1%8F%202002%20%D0%B3%D0%BE%D0%B4%D0%B0%20%0A%E2%84%96%20151-%D0%97-III%20%C2%AB%D0%9E%20%D0%BB%D0%B8%D1%86%D0%B5%D0%BD%D0%B7%D0%B8%D1%80%D0%BE%D0%B2%D0%B0%D0%BD%D0%B8%D0%B8%20%D0%BE%D1%82%D0%B4%D0%B5%D0%BB%D1%8C%D0%BD%D1%8B%D1%85%20%D0%B2%D0%B8%D0%B4%D0%BE%D0%B2%20%D0%B4%D0%B5%D1%8F%D1%82%D0%B5%D0%BB%D1%8C%D0%BD%D0%BE%D1%81%D1%82%D0%B8%C2%BB%20%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1069</Words>
  <Characters>7488</Characters>
  <CharactersWithSpaces>8591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