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Музейном фонде и музеях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30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2001 года № 62-З-III «О Музейном фонде и музеях в Приднестровской Молдавской Республике» (САЗ 01-46)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506-ЗИ-IV 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210-ЗИД-V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2012 года № 209-ЗИД-V (САЗ 12-44)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2013 года № 43-ЗИ-V (САЗ 13-6)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33-ЗИ-V (САЗ 14-4)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2017 года № 48-ЗД-VI (САЗ 17-11)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3. Основные понятия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настоящего Закона используются следующие основные понятия и термины: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культурные ценности – движимые предметы материального мира (материальные и духовные ценности), независимо от времени их создания, имеющие историческое, художественное, научное или культурное значение;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музей – учреждение культуры, созданное собственником для хранения, изучения и публичного представления музейных предметов и музейных коллекций, включенных в состав Музейного фонда Приднестровской Молдавской Республики, а также для достижения иных целей, определенных настоящим Законом;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музейная коллекция – совокупность культурных ценностей, которые приобретают свойства музейного предмета только будучи соединенными вместе в силу характера своего происхождения либо видового родства, либо </w:t>
      </w:r>
      <w:r>
        <w:rPr/>
        <w:br/>
      </w:r>
      <w:r>
        <w:rPr>
          <w:rFonts w:ascii="times new roman;times" w:hAnsi="times new roman;times"/>
          <w:sz w:val="24"/>
        </w:rPr>
        <w:t>по иным признакам;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музейный предмет – культурная ценность, качество или особые признаки которой делают необходимым для общества ее сохранение, изучение и публичное представление;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Музейный фонд Приднестровской Молдавской Республики – совокупность постоянно находящихся на территории Приднестровской Молдавской Республики музейных предметов и музейных коллекций, гражданский оборот которых допускается только с соблюдением ограничений, установленных настоящим Законом;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публикация – одна из основных форм деятельности музея, предполагающая все виды представления обществу музейных предметов </w:t>
      </w:r>
      <w:r>
        <w:rPr/>
        <w:br/>
      </w:r>
      <w:r>
        <w:rPr>
          <w:rFonts w:ascii="times new roman;times" w:hAnsi="times new roman;times"/>
          <w:sz w:val="24"/>
        </w:rPr>
        <w:t>и музейных коллекций путем публичного представления, воспроизведения в печатных изданиях, на электронных и других видах носителей информации, размещения сведений о музейных предметах и музейных коллекциях в глобальной сети Интернет;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хранение – один из основных видов деятельности музея, предполагающий создание материальных и юридических условий, при которых обеспечивается сохранность музейного предмета и музейной коллекции».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5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«Отражение музейных предметов и музейных коллекций на балансе музея не допускается».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8. Включение музейных предметов и музейных коллекций 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 Музейного фонда 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Музейные предметы и музейные коллекции считаются включенными в состав Музейного фонда Приднестровской Молдавской Республики со дня их регистрации в Главной инвентарной книге музея после прохождения процедуры первичного государственного учета в порядке, установленном положением о Музейном фонде Приднестровской Молдавской Республики и Инструкцией по организации комплектования, учета, хранения и использования музейных предметов и музейных коллекций в музеях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Положение о Музейном фонде Приднестровской Молдавской Республики разрабатывается и утверждается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музейного дела.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Инструкция по организации комплектования, учета, хранения и использования музейных предметов и музейных коллекций </w:t>
      </w:r>
      <w:r>
        <w:rPr/>
        <w:br/>
      </w:r>
      <w:r>
        <w:rPr>
          <w:rFonts w:ascii="times new roman;times" w:hAnsi="times new roman;times"/>
          <w:sz w:val="24"/>
        </w:rPr>
        <w:t>в музеях Приднестровской Молдавской Республики (далее по тексту – Инструкция) разрабатывается и утверждается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музейного дела.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Главная инвентарная книга музея является основным юридическим документом государственного учета музейных предметов и музейных коллекций, содержащим основные сведения о каждом музейном предмете и каждой музейной коллекции, которые включены в состав Музейного фонда Приднестровской Молдавской Республики. Порядок ведения Главной инвентарной книги музея устанавливается Инструкцией».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Дополнить Закон статьей 8-1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8-1. Государственный учет музейных предметов и музейных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коллекций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Музейные предметы и музейные коллекции, независимо от того, в чьей собственности, во владении или в пользовании они находятся, подлежат государственному учету.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учет музейных предметов и музейных коллекций (далее – государственный учет) представляет собой комплекс мер, обеспечивающих идентификацию и предметно-количественный учет музейных предметов и музейных коллекций, в целях их правовой защиты и государственного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Государственный учет состоит из первичного государственного учета (далее – первичный учет) и централизованного государственного учета </w:t>
      </w:r>
      <w:r>
        <w:rPr/>
        <w:br/>
      </w:r>
      <w:r>
        <w:rPr>
          <w:rFonts w:ascii="times new roman;times" w:hAnsi="times new roman;times"/>
          <w:sz w:val="24"/>
        </w:rPr>
        <w:t>(далее – централизованный учет).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Первичный учет культурных ценностей осуществляется государственными и муниципальными музеями, организациями, во владении или в пользовании которых они находятся, с целью последующего их включения в состав Музейного фонда Приднестровской Молдавской Республики в порядке, установленном </w:t>
      </w:r>
      <w:r>
        <w:fldChar w:fldCharType="begin"/>
      </w:r>
      <w:r>
        <w:rPr>
          <w:rStyle w:val="Hyperlink"/>
          <w:sz w:val="24"/>
          <w:rFonts w:ascii="times new roman;times" w:hAnsi="times new roman;times"/>
        </w:rPr>
        <w:instrText xml:space="preserve"> HYPERLINK "https://www.consultant.ru/document/cons_doc_LAW_322792/43437d65a7e7cbeb6e7c0004bfd0a96079374e86/" \l "dst100012"</w:instrText>
      </w:r>
      <w:r>
        <w:rPr>
          <w:rStyle w:val="Hyperlink"/>
          <w:sz w:val="24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z w:val="24"/>
        </w:rPr>
        <w:t>положением</w:t>
      </w:r>
      <w:r>
        <w:rPr>
          <w:rStyle w:val="Hyperlink"/>
          <w:sz w:val="24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  <w:sz w:val="24"/>
        </w:rPr>
        <w:t xml:space="preserve"> о Музейном фонде Приднестровской Молдавской Республики и Инструкцией.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Первичный учет включает в себя: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экспертизу культурных ценностей в целях отнесения их к музейным предметам и музейным коллекциям;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первичную регистрацию музейных предметов и музейных коллекций в Главной инвентарной книге музея;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присвоение каждому музейному предмету и каждой музейной коллекции, которые включены в состав Музейного фонда Приднестровской Молдавской Республики, уникального идентификационного номера.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Централизованный учет осуществляется посредством внесения сведений о музейных предметах и музейных коллекциях в Государственный каталог Музейного фонда Приднестровской Молдавской Республики в порядке, установленном положением о Государственном каталоге Музейного фонда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Статью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9. Исключение музейных предметов и музейных коллекций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состава Музейного фонда 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Музейные предметы и музейные коллекции, включенные в состав Музейного фонда Приднестровской Молдавской Республики, исключению из состава Музейного фонда Приднестровской Молдавской Республики не подлежат, за исключением случаев утраты, разрушения, а также утраты историко-культурной, художественной, научной и иной их ценности, установленных экспертизой, проведенной в отношении этих музейных предметов и музейных коллекций, наличия судебного решения, вступившего в законную силу.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Исключение музейных предметов и музейных коллекций из состава Музейного фонда Приднестровской Молдавской Республики осуществляется </w:t>
      </w:r>
      <w:r>
        <w:rPr/>
        <w:br/>
      </w:r>
      <w:r>
        <w:rPr>
          <w:rFonts w:ascii="times new roman;times" w:hAnsi="times new roman;times"/>
          <w:sz w:val="24"/>
        </w:rPr>
        <w:t>после проведения экспертизы в порядке, установленном положением о Музейном фонде Приднестровской Молдавской Республики и Инструкцией.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Музейные предметы и музейные коллекции считаются исключенными из состава Музейного фонда Приднестровской Молдавской Республики с момента внесения соответствующей записи в Главную инвентарную книгу музея в порядке, установленном положением о Музейном фонде Приднестровской Молдавской Республики и Инструкцией».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Статью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10. Государственный каталог Музейного фонда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каталог Музейного фонда Приднестровской Молдавской Республики (далее – Государственный каталог) создается с целью централизованного учета сведений о музейных предметах и музейных коллекциях Музейного фонда Приднестровской Молдавской Республики и состоит: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 реестра государственных и муниципальных музеев, организаций, в собственности, во владении или в пользовании которых находятся музейные предметы и музейные коллекции, включенные в состав Музейного фонда Приднестровской Молдавской Республики (далее – реестр музеев);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из реестра музейных предметов и музейных коллекций, включенных в состав Музейного фонда Приднестровской Молдавской Республики (далее – реестр Музейного фонда).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Уполномоченный Правительством Приднестровской Молдавской Республики исполнительный орган государственной власти, в ведении которого находятся вопросы музейного дела, размещает Государственный каталог на своем официальном сайте в глобальной сети Интернет.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создания и функционирования Государственного каталога, хранения и использования содержащейся в Государственном каталоге информации устанавливается положением о Государственном каталоге, которое утверждается Правительством Приднестровской Молдавской Республики (далее – положение о Государственном каталоге)».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Статью 10-1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10-1. Гарантии защиты информации, содержащейся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Государственном каталоге Музейного фонда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Информация, содержащаяся в Государственном каталоге, является общедоступной, за исключением сведений, распространение которых ограничено законодательными актами Приднестровской Молдавской Республики, и распространяется бесплатно путем размещения на официальном сайте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музейного дела, в глобальной сети Интернет в порядке, установленном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Часть вторую статьи 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«Временный вывоз музейных предметов и музейных коллекций регулируется Законом Приднестровской Молдавской Республики «О ввозе </w:t>
      </w:r>
      <w:r>
        <w:rPr/>
        <w:br/>
      </w:r>
      <w:r>
        <w:rPr>
          <w:rFonts w:ascii="times new roman;times" w:hAnsi="times new roman;times"/>
          <w:sz w:val="24"/>
        </w:rPr>
        <w:t>и вывозе культурных ценностей».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Часть третью статьи 11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Статью 12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«Передача прав собственности и другие действия физических и юридических лиц, направленные на установление, изменение или прекращение гражданских прав и обязанностей в отношении музейных предметов и музейных коллекций, включенных в состав Музейного фонда Приднестровской Молдавской Республики, производятся после внесения соответствующей записи в Главную инвентарную книгу музея в порядке, установленном положением о Музейном фонде Приднестровской Молдавской Республики и Инструкцией».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Статью 15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Статью 20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20. Включение музейных предметов и музейных коллекций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состав негосударственной части Музейного фонда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Включение музейных предметов и музейных коллекций в состав негосударственной части Музейного фонда Приднестровской Молдавской Республики осуществляется в порядке, предусмотренном статьей 8 настоящего Закона, и устанавливается положением о Музейном фонде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Статью 21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21. Исключение музейных предметов и музейных коллекций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 состава негосударственной части Музейного фонда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Исключение музейных предметов и музейных коллекций из состава негосударственной части Музейного фонда Приднестровской Молдавской Республики осуществляется в порядке, предусмотренном статьей 9 настоящего Закона, и устанавливается положением о Музейном фонде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267-ЗИД-VII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D%D0%BE%D1%8F%D0%B1%D1%80%D1%8F%202001%20%D0%B3%D0%BE%D0%B4%D0%B0%20%E2%84%96%2062-%D0%97-III%20%C2%AB%D0%9E%20%D0%9C%D1%83%D0%B7%D0%B5%D0%B9%D0%BD%D0%BE%D0%BC%20%D1%84%D0%BE%D0%BD%D0%B4%D0%B5%20%D0%B8%20%D0%BC%D1%83%D0%B7%D0%B5%D1%8F%D1%85%20%D0%B2%20%D0%9F%D1%80%D0%B8%D0%B4%D0%BD%D0%B5%D1%81%D1%82%D1%80%D0%BE%D0%B2%D1%81%D0%BA%D0%BE%D0%B9%20%D0%9C%D0%BE%D0%BB%D0%B4%D0%B0%D0%B2%D1%81%D0%BA%D0%BE%D0%B9%20%D0%A0%D0%B5%D1%81%D0%BF%D1%83%D0%B1%D0%BB%D0%B8%D0%BA%D0%B5%C2%BB%20%28%D0%A1%D0%90%D0%97%2001-46%29" TargetMode="External"/><Relationship Id="rId6" Type="http://schemas.openxmlformats.org/officeDocument/2006/relationships/hyperlink" Target="documents/search/doc-link/?q=%D0%BE%D1%82%2010%20%D0%B8%D1%8E%D0%BB%D1%8F%202002%20%D0%B3%D0%BE%D0%B4%D0%B0%20%E2%84%96%20152-%D0%97%D0%98%D0%94-III%20%28%D0%A1%D0%90%D0%97%2002-28%2C1%29" TargetMode="External"/><Relationship Id="rId7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8" Type="http://schemas.openxmlformats.org/officeDocument/2006/relationships/hyperlink" Target="documents/search/doc-link/?q=%D0%BE%D1%82%2029%20%D0%B8%D1%8E%D0%BB%D1%8F%202008%20%D0%B3%D0%BE%D0%B4%D0%B0%20%E2%84%96%20506-%D0%97%D0%98-IV%C2%A0%28%D0%A1%D0%90%D0%97%2008-30%29" TargetMode="External"/><Relationship Id="rId9" Type="http://schemas.openxmlformats.org/officeDocument/2006/relationships/hyperlink" Target="documents/search/doc-link/?q=%D0%BE%D1%82%2024%20%D0%BD%D0%BE%D1%8F%D0%B1%D1%80%D1%8F%202011%20%D0%B3%D0%BE%D0%B4%D0%B0%20%E2%84%96%20210-%D0%97%D0%98%D0%94-V%20%28%D0%A1%D0%90%D0%97%2011-47%29" TargetMode="External"/><Relationship Id="rId10" Type="http://schemas.openxmlformats.org/officeDocument/2006/relationships/hyperlink" Target="documents/search/doc-link/?q=%D0%BE%D1%82%2026%20%D0%BE%D0%BA%D1%82%D1%8F%D0%B1%D1%80%D1%8F%202012%20%D0%B3%D0%BE%D0%B4%D0%B0%20%E2%84%96%20209-%D0%97%D0%98%D0%94-V%20%28%D0%A1%D0%90%D0%97%2012-44%29" TargetMode="External"/><Relationship Id="rId11" Type="http://schemas.openxmlformats.org/officeDocument/2006/relationships/hyperlink" Target="documents/search/doc-link/?q=%D0%BE%D1%82%2015%20%D1%84%D0%B5%D0%B2%D1%80%D0%B0%D0%BB%D1%8F%202013%20%D0%B3%D0%BE%D0%B4%D0%B0%20%E2%84%96%2043-%D0%97%D0%98-V%C2%A0%28%D0%A1%D0%90%D0%97%2013-6%29" TargetMode="External"/><Relationship Id="rId12" Type="http://schemas.openxmlformats.org/officeDocument/2006/relationships/hyperlink" Target="documents/search/doc-link/?q=%D0%BE%D1%82%2021%20%D1%8F%D0%BD%D0%B2%D0%B0%D1%80%D1%8F%202014%20%D0%B3%D0%BE%D0%B4%D0%B0%20%E2%84%96%2033-%D0%97%D0%98-V%20%28%D0%A1%D0%90%D0%97%2014-4%29" TargetMode="External"/><Relationship Id="rId13" Type="http://schemas.openxmlformats.org/officeDocument/2006/relationships/hyperlink" Target="documents/search/doc-link/?q=%D0%BE%D1%82%206%20%D0%BC%D0%B0%D1%80%D1%82%D0%B0%202017%20%D0%B3%D0%BE%D0%B4%D0%B0%20%E2%84%96%2048-%D0%97%D0%94-VI%20%28%D0%A1%D0%90%D0%97%2017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1401</Words>
  <Characters>10435</Characters>
  <CharactersWithSpaces>11818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