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 июля 2022 года № 1423-У «О порядке определения категорий потребительских кредитов (займов) и о порядке ежеквартального расчета и опубликования среднерыночного значения полной стоимости потребительского кредита (займа) в процентах годовых»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11228 от 24 августа 2022 года) (САЗ 22-33)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51 от 29 октября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августа 2021 года № 214-З-VII «О потребительском кредите (займе)» (САЗ 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июля 2022 года № 1423-У «О порядке определения категорий потребительских кредитов (займов) и о порядке ежеквартального расчета и опубликования среднерыночного значения полной стоимости потребительского кредита (займа) в процентах годовых»</w:t>
        </w:r>
      </w:hyperlink>
      <w:r>
        <w:rPr>
          <w:rFonts w:ascii="times new roman;times" w:hAnsi="times new roman;times"/>
          <w:sz w:val="24"/>
        </w:rPr>
        <w:t xml:space="preserve"> (регистрационный № 11228 от 24 августа 2022 года) (САЗ 22-33) с изменением и дополнением, внесенными указанием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2023 года № 1526-У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12197 от 26 декабря 2023 года) (САЗ 24-1) (далее – Указание),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4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Среднерыночное значение полной стоимости потребительских кредитов (займов) в процентах годовых рассчитывается центральным банком Приднестровской Молдавской Республики ежеквартально по не менее чем двум кредиторам одного вида и определяется как средневзвешенное значение полной стоимости потребительского кредита (займа) в процентах годовых, рассчитанное по соответствующей категории потребительского кредита (займа) (по объему потребительских кредитов (займов), выданных за предыдущий квартал) по формуле с округлением до одного знака после запятой по правилам математического округления: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СЗПСКi = (V1 х Р1 + V2 х Р2 + ... + Vn х Рn) : (V1 + V2 + ... + Vn),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СЗПСК – среднерыночное значение полной стоимости потребительского кредита (займа) в процентах годовых;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 – категория потребительского кредита (займа);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V1, V2, ..., Vn – объем потребительских кредитов (займов) в рублях Приднестровской Молдавской Республики, выданный n-м кредитором, по i-й категории потребительского кредита (займа) за предыдущий квартал;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P1, Р2, ..., Рn – средневзвешенное значение полной стоимости потребительского кредита (займа) в процентах годовых n-го кредитора по i-й категории потребительского кредита (займа) за предыдущий квартал.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Средневзвешенное значение полной стоимости потребительских кредитов (займов), предоставленных кредитными организациями, в процентах годовых n-го кредитора по i-й категории потребительского кредита (займа) рассчитывается на основании Отчета «Данные о полной стоимости потребительских кредитов (займов) в процентах годовых», представляемого в соответствии с Инструкцией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2008 года № 25-И «О порядке представления кредитными организациями отдельных форм отчетности в Приднестровский республиканский банк»</w:t>
        </w:r>
      </w:hyperlink>
      <w:r>
        <w:rPr>
          <w:rFonts w:ascii="times new roman;times" w:hAnsi="times new roman;times"/>
          <w:sz w:val="24"/>
        </w:rPr>
        <w:t xml:space="preserve">, в разрезе валют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Pav = (V1 х P1 + V2 х Р2 + ... + Vn х Pn) : (V1 + V2 + ... + Vn),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Pav – средневзвешенное значение полной стоимости потребительских кредитов (займов) в процентах годовых;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V1, V2, ... Vn – сумма кредита (займа) по договору потребительского кредита (займа) по n-й сделке за отчетный период;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P1, Р2,... Pn – полная стоимость потребительских кредитов (займов) в процентах годовых соответствующей категории потребительских кредитов (займов) по n-й сделке, раскрытая в соответствии с Законом Приднестровской Молдавской Республики «О потребительском кредите (займе)», в договоре потребительского кредита (займа), заключенном в отчетном периоде.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отклонений среднерыночного значения полной стоимости потребительских кредитов (займов), выданных кредитной организацией, по i-й категории в отчетном периоде по сравнению с предыдущим более чем на 20 процентов, центральный банк Приднестровской Молдавской Республики может проводить оценку значений полной стоимости потребительского кредита (займа) по каждому договору потребительского кредита (займа) на предмет типичности для i-й категории путём применения методов определения выбросов (нетипичных процентных ставок) данных (например, метод Z-оценки) за отчетный период и (или) предыдущий 6-ти (12-ти) месячный период, включая отчетный период. При выявлении договоров потребительского кредита (займа) с нетипичными значениями полной стоимости потребительского кредита (займа) по i-й категории в отчетном периоде, они подлежат исключению из расчета среднерыночного значения полной стоимости потребительских кредитов (займов), предоставленных кредитными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расчете среднерыночного значения полной стоимости потребительских кредитов (займов) по категориям потребительских кредитов (займов), выданных кредитными организациями, не учитываются: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потребительские кредиты (займы), предоставляемые в рамках государственных программ, предусматривающих выделение из республиканского бюджета Приднестровской Молдавской Республики субсидий кредиторам на возмещение недополученных доходов кредиторов по выданным потребительским кредитам (займам);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потребительские кредиты (займы), выданные работникам, учредителям и аффилированным лицам кредитора.».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1571-У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C2%A0%D0%B8%D1%8E%D0%BB%D1%8F%202022%C2%A0%D0%B3%D0%BE%D0%B4%D0%B0%20%E2%84%96%C2%A01423-%D0%A3%20%C2%AB%D0%9E%20%D0%BF%D0%BE%D1%80%D1%8F%D0%B4%D0%BA%D0%B5%20%D0%BE%D0%BF%D1%80%D0%B5%D0%B4%D0%B5%D0%BB%D0%B5%D0%BD%D0%B8%D1%8F%20%D0%BA%D0%B0%D1%82%D0%B5%D0%B3%D0%BE%D1%80%D0%B8%D0%B9%20%D0%BF%D0%BE%D1%82%D1%80%D0%B5%D0%B1%D0%B8%D1%82%D0%B5%D0%BB%D1%8C%D1%81%D0%BA%D0%B8%D1%85%20%D0%BA%D1%80%D0%B5%D0%B4%D0%B8%D1%82%D0%BE%D0%B2%20%28%D0%B7%D0%B0%D0%B9%D0%BC%D0%BE%D0%B2%29%20%D0%B8%20%D0%BE%20%D0%BF%D0%BE%D1%80%D1%8F%D0%B4%D0%BA%D0%B5%20%D0%B5%D0%B6%D0%B5%D0%BA%D0%B2%D0%B0%D1%80%D1%82%D0%B0%D0%BB%D1%8C%D0%BD%D0%BE%D0%B3%D0%BE%20%D1%80%D0%B0%D1%81%D1%87%D0%B5%D1%82%D0%B0%20%D0%B8%20%D0%BE%D0%BF%D1%83%D0%B1%D0%BB%D0%B8%D0%BA%D0%BE%D0%B2%D0%B0%D0%BD%D0%B8%D1%8F%20%D1%81%D1%80%D0%B5%D0%B4%D0%BD%D0%B5%D1%80%D1%8B%D0%BD%D0%BE%D1%87%D0%BD%D0%BE%D0%B3%D0%BE%20%D0%B7%D0%BD%D0%B0%D1%87%D0%B5%D0%BD%D0%B8%D1%8F%20%D0%BF%D0%BE%D0%BB%D0%BD%D0%BE%D0%B9%20%D1%81%D1%82%D0%BE%D0%B8%D0%BC%D0%BE%D1%81%D1%82%D0%B8%20%D0%BF%D0%BE%D1%82%D1%80%D0%B5%D0%B1%D0%B8%D1%82%D0%B5%D0%BB%D1%8C%D1%81%D0%BA%D0%BE%D0%B3%D0%BE%20%D0%BA%D1%80%D0%B5%D0%B4%D0%B8%D1%82%D0%B0%20%28%D0%B7%D0%B0%D0%B9%D0%BC%D0%B0%29%20%D0%B2%20%D0%BF%D1%80%D0%BE%D1%86%D0%B5%D0%BD%D1%82%D0%B0%D1%85%20%D0%B3%D0%BE%D0%B4%D0%BE%D0%B2%D1%8B%D1%85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%C2%A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2021-31%29" TargetMode="External"/><Relationship Id="rId8" Type="http://schemas.openxmlformats.org/officeDocument/2006/relationships/hyperlink" Target="documents/search/doc-link/?q=%D0%BE%D1%82%2022%20%D0%B4%D0%B5%D0%BA%D0%B0%D0%B1%D1%80%D1%8F%202023%C2%A0%D0%B3%D0%BE%D0%B4%D0%B0%20%E2%84%96%C2%A01526-%D0%A3" TargetMode="External"/><Relationship Id="rId9" Type="http://schemas.openxmlformats.org/officeDocument/2006/relationships/hyperlink" Target="documents/search/doc-link/?q=%D0%BE%D1%82%202%20%D0%B8%D1%8E%D0%BB%D1%8F%202008%C2%A0%D0%B3%D0%BE%D0%B4%D0%B0%20%E2%84%96%C2%A025-%D0%98%20%C2%AB%D0%9E%20%D0%BF%D0%BE%D1%80%D1%8F%D0%B4%D0%BA%D0%B5%20%D0%BF%D1%80%D0%B5%D0%B4%D1%81%D1%82%D0%B0%D0%B2%D0%BB%D0%B5%D0%BD%D0%B8%D1%8F%20%D0%BA%D1%80%D0%B5%D0%B4%D0%B8%D1%82%D0%BD%D1%8B%D0%BC%D0%B8%20%D0%BE%D1%80%D0%B3%D0%B0%D0%BD%D0%B8%D0%B7%D0%B0%D1%86%D0%B8%D1%8F%D0%BC%D0%B8%20%D0%BE%D1%82%D0%B4%D0%B5%D0%BB%D1%8C%D0%BD%D1%8B%D1%85%20%D1%84%D0%BE%D1%80%D0%BC%20%D0%BE%D1%82%D1%87%D0%B5%D1%82%D0%BD%D0%BE%D1%81%D1%82%D0%B8%20%D0%B2%20%D0%9F%D1%80%D0%B8%D0%B4%D0%BD%D0%B5%D1%81%D1%82%D1%80%D0%BE%D0%B2%D1%81%D0%BA%D0%B8%D0%B9%20%D1%80%D0%B5%D1%81%D0%BF%D1%83%D0%B1%D0%BB%D0%B8%D0%BA%D0%B0%D0%BD%D1%81%D0%BA%D0%B8%D0%B9%20%D0%B1%D0%B0%D0%BD%D0%BA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722</Words>
  <Characters>5062</Characters>
  <CharactersWithSpaces>5842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