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УКАЗАНИЕ</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ПРИДНЕСТРОВСКОГО РЕСПУБЛИКАНСКОГО БАНКА</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в Инструкцию Приднестровского республиканского банка </w:t>
      </w:r>
      <w:hyperlink r:id="rId5">
        <w:r>
          <w:rPr>
            <w:rStyle w:val="Strong"/>
            <w:rFonts w:ascii="times new roman;times" w:hAnsi="times new roman;times"/>
            <w:sz w:val="24"/>
            <w:color w:val="0563C1"/>
            <w:u w:val="single"/>
          </w:rPr>
          <w:t xml:space="preserve">от 2 июля 2008 года № 25-И «О порядке представления кредитными организациями отдельных форм отчетности в Приднестровский республиканский банк»</w:t>
        </w:r>
      </w:hyperlink>
      <w:r>
        <w:rPr>
          <w:rStyle w:val="Strong"/>
          <w:rFonts w:ascii="times new roman;times" w:hAnsi="times new roman;times"/>
          <w:sz w:val="24"/>
        </w:rPr>
        <w:t xml:space="preserve"> (регистрационный № 4548 от 19 августа 2008 года) (САЗ 08-33)</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Утверждено решением правления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Приднестровского республиканского банка</w:t>
      </w:r>
    </w:p>
    <w:p>
      <w:pPr>
        <w:pStyle w:val="BodyTextoutside-table"/>
        <w:bidi w:val="0"/>
        <w:spacing w:before="0" w:after="283"/>
        <w:ind w:firstLine="709" w:left="0" w:right="0"/>
        <w:jc w:val="center"/>
        <w:rPr/>
      </w:pPr>
      <w:r>
        <w:rPr>
          <w:rStyle w:val="Strong"/>
          <w:rFonts w:ascii="times new roman;times" w:hAnsi="times new roman;times"/>
          <w:sz w:val="24"/>
        </w:rPr>
        <w:t>Протокол № 51 от 29 октября 2024 года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Зарегистрировано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14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12854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Настоящее Указание разработано 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7 мая 2007 года № 212-З-IV «О центральном банке Приднестровской Молдавской Республики» (САЗ 07-20)</w:t>
        </w:r>
      </w:hyperlink>
      <w:r>
        <w:rPr>
          <w:rFonts w:ascii="times new roman;times" w:hAnsi="times new roman;times"/>
          <w:sz w:val="24"/>
        </w:rPr>
        <w:t xml:space="preserve">, Законом Приднестровской Молдавской Республики от 1 декабря 1993 года «О банках и банковской деятельности в Приднестровской Молдавской Республике» (СЗМР 93-2), Законом Приднестровской Молдавской Республики </w:t>
      </w:r>
      <w:hyperlink r:id="rId7">
        <w:r>
          <w:rPr>
            <w:rFonts w:ascii="times new roman;times" w:hAnsi="times new roman;times"/>
            <w:sz w:val="24"/>
            <w:color w:val="0563C1"/>
            <w:u w:val="single"/>
          </w:rPr>
          <w:t xml:space="preserve">от 3 августа 2021 года № 214-З-VII «О потребительском кредите (займе)» (САЗ 21-31)</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Инструкцию Приднестровского республиканского банка </w:t>
      </w:r>
      <w:hyperlink r:id="rId8">
        <w:r>
          <w:rPr>
            <w:rFonts w:ascii="times new roman;times" w:hAnsi="times new roman;times"/>
            <w:sz w:val="24"/>
            <w:color w:val="0563C1"/>
            <w:u w:val="single"/>
          </w:rPr>
          <w:t xml:space="preserve">от 2 июля 2008 года № 25-И «О порядке представления кредитными организациями отдельных форм отчетности в Приднестровский республиканский банк»</w:t>
        </w:r>
      </w:hyperlink>
      <w:r>
        <w:rPr>
          <w:rFonts w:ascii="times new roman;times" w:hAnsi="times new roman;times"/>
          <w:sz w:val="24"/>
        </w:rPr>
        <w:t xml:space="preserve"> (регистрационный № 4548 от 19 августа 2008 года) (САЗ 08-33) с изменениями и дополнениями, внесенными указаниями Приднестровского республиканского банка </w:t>
      </w:r>
      <w:hyperlink r:id="rId9">
        <w:r>
          <w:rPr>
            <w:rFonts w:ascii="times new roman;times" w:hAnsi="times new roman;times"/>
            <w:sz w:val="24"/>
            <w:color w:val="0563C1"/>
            <w:u w:val="single"/>
          </w:rPr>
          <w:t xml:space="preserve">от 8 апреля 2009 года № 323-У</w:t>
        </w:r>
      </w:hyperlink>
      <w:r>
        <w:rPr>
          <w:rFonts w:ascii="times new roman;times" w:hAnsi="times new roman;times"/>
          <w:sz w:val="24"/>
        </w:rPr>
        <w:t xml:space="preserve"> (регистрационный № 4841 от 19 мая 2009 года) (САЗ 09-21), </w:t>
      </w:r>
      <w:hyperlink r:id="rId10">
        <w:r>
          <w:rPr>
            <w:rFonts w:ascii="times new roman;times" w:hAnsi="times new roman;times"/>
            <w:sz w:val="24"/>
            <w:color w:val="0563C1"/>
            <w:u w:val="single"/>
          </w:rPr>
          <w:t xml:space="preserve">от 15 июля 2009 года № 342-У</w:t>
        </w:r>
      </w:hyperlink>
      <w:r>
        <w:rPr>
          <w:rFonts w:ascii="times new roman;times" w:hAnsi="times new roman;times"/>
          <w:sz w:val="24"/>
        </w:rPr>
        <w:t xml:space="preserve"> (регистрационный № 4964 от 18 августа 2009 года) (САЗ 09-34), </w:t>
      </w:r>
      <w:hyperlink r:id="rId11">
        <w:r>
          <w:rPr>
            <w:rFonts w:ascii="times new roman;times" w:hAnsi="times new roman;times"/>
            <w:sz w:val="24"/>
            <w:color w:val="0563C1"/>
            <w:u w:val="single"/>
          </w:rPr>
          <w:t xml:space="preserve">от 19 января 2010 года № 371-У</w:t>
        </w:r>
      </w:hyperlink>
      <w:r>
        <w:rPr>
          <w:rFonts w:ascii="times new roman;times" w:hAnsi="times new roman;times"/>
          <w:sz w:val="24"/>
        </w:rPr>
        <w:t xml:space="preserve"> (регистрационный № 5158 от 24 февраля 2010 года) (САЗ 10-8), </w:t>
      </w:r>
      <w:hyperlink r:id="rId12">
        <w:r>
          <w:rPr>
            <w:rFonts w:ascii="times new roman;times" w:hAnsi="times new roman;times"/>
            <w:sz w:val="24"/>
            <w:color w:val="0563C1"/>
            <w:u w:val="single"/>
          </w:rPr>
          <w:t xml:space="preserve">от 3 марта 2011 года № 442-У</w:t>
        </w:r>
      </w:hyperlink>
      <w:r>
        <w:rPr>
          <w:rFonts w:ascii="times new roman;times" w:hAnsi="times new roman;times"/>
          <w:sz w:val="24"/>
        </w:rPr>
        <w:t xml:space="preserve"> (регистрационный № 5600 от 19 апреля 2011 года) (САЗ 11-16), </w:t>
      </w:r>
      <w:hyperlink r:id="rId13">
        <w:r>
          <w:rPr>
            <w:rFonts w:ascii="times new roman;times" w:hAnsi="times new roman;times"/>
            <w:sz w:val="24"/>
            <w:color w:val="0563C1"/>
            <w:u w:val="single"/>
          </w:rPr>
          <w:t xml:space="preserve">от 13 октября 2011 года № 487-У</w:t>
        </w:r>
      </w:hyperlink>
      <w:r>
        <w:rPr>
          <w:rFonts w:ascii="times new roman;times" w:hAnsi="times new roman;times"/>
          <w:sz w:val="24"/>
        </w:rPr>
        <w:t xml:space="preserve"> (регистрационный № 5792 от 10 ноября 2011 года) (САЗ 11-45), </w:t>
      </w:r>
      <w:hyperlink r:id="rId14">
        <w:r>
          <w:rPr>
            <w:rFonts w:ascii="times new roman;times" w:hAnsi="times new roman;times"/>
            <w:sz w:val="24"/>
            <w:color w:val="0563C1"/>
            <w:u w:val="single"/>
          </w:rPr>
          <w:t xml:space="preserve">от 21 февраля 2012 года № 517-У</w:t>
        </w:r>
      </w:hyperlink>
      <w:r>
        <w:rPr>
          <w:rFonts w:ascii="times new roman;times" w:hAnsi="times new roman;times"/>
          <w:sz w:val="24"/>
        </w:rPr>
        <w:t xml:space="preserve"> (регистрационный № 5956 от 28 марта 2012 года) (САЗ 12-14), </w:t>
      </w:r>
      <w:hyperlink r:id="rId15">
        <w:r>
          <w:rPr>
            <w:rFonts w:ascii="times new roman;times" w:hAnsi="times new roman;times"/>
            <w:sz w:val="24"/>
            <w:color w:val="0563C1"/>
            <w:u w:val="single"/>
          </w:rPr>
          <w:t xml:space="preserve">от 26 марта 2012 года № 529-У</w:t>
        </w:r>
      </w:hyperlink>
      <w:r>
        <w:rPr>
          <w:rFonts w:ascii="times new roman;times" w:hAnsi="times new roman;times"/>
          <w:sz w:val="24"/>
        </w:rPr>
        <w:t xml:space="preserve"> (регистрационный № 5977 от 19 апреля 2012 года) (САЗ 12-17), </w:t>
      </w:r>
      <w:hyperlink r:id="rId16">
        <w:r>
          <w:rPr>
            <w:rFonts w:ascii="times new roman;times" w:hAnsi="times new roman;times"/>
            <w:sz w:val="24"/>
            <w:color w:val="0563C1"/>
            <w:u w:val="single"/>
          </w:rPr>
          <w:t xml:space="preserve">от 24 июля 2012 года № 575-У</w:t>
        </w:r>
      </w:hyperlink>
      <w:r>
        <w:rPr>
          <w:rFonts w:ascii="times new roman;times" w:hAnsi="times new roman;times"/>
          <w:sz w:val="24"/>
        </w:rPr>
        <w:t xml:space="preserve"> (регистрационный № 6100 от 14 августа 2012 года) (САЗ 12-34), </w:t>
      </w:r>
      <w:hyperlink r:id="rId17">
        <w:r>
          <w:rPr>
            <w:rFonts w:ascii="times new roman;times" w:hAnsi="times new roman;times"/>
            <w:sz w:val="24"/>
            <w:color w:val="0563C1"/>
            <w:u w:val="single"/>
          </w:rPr>
          <w:t xml:space="preserve">от 7 декабря 2012 года № 637-У</w:t>
        </w:r>
      </w:hyperlink>
      <w:r>
        <w:rPr>
          <w:rFonts w:ascii="times new roman;times" w:hAnsi="times new roman;times"/>
          <w:sz w:val="24"/>
        </w:rPr>
        <w:t xml:space="preserve"> (регистрационный № 6254 от 26 декабря 2012 года) (САЗ 12-53), </w:t>
      </w:r>
      <w:hyperlink r:id="rId18">
        <w:r>
          <w:rPr>
            <w:rFonts w:ascii="times new roman;times" w:hAnsi="times new roman;times"/>
            <w:sz w:val="24"/>
            <w:color w:val="0563C1"/>
            <w:u w:val="single"/>
          </w:rPr>
          <w:t xml:space="preserve">от 30 января 2013 года № 657-У</w:t>
        </w:r>
      </w:hyperlink>
      <w:r>
        <w:rPr>
          <w:rFonts w:ascii="times new roman;times" w:hAnsi="times new roman;times"/>
          <w:sz w:val="24"/>
        </w:rPr>
        <w:t xml:space="preserve"> (регистрационный № 6316 от 21 февраля 2013 года) (САЗ 13-7), </w:t>
      </w:r>
      <w:hyperlink r:id="rId19">
        <w:r>
          <w:rPr>
            <w:rFonts w:ascii="times new roman;times" w:hAnsi="times new roman;times"/>
            <w:sz w:val="24"/>
            <w:color w:val="0563C1"/>
            <w:u w:val="single"/>
          </w:rPr>
          <w:t xml:space="preserve">от 23 апреля 2013 года № 684-У</w:t>
        </w:r>
      </w:hyperlink>
      <w:r>
        <w:rPr>
          <w:rFonts w:ascii="times new roman;times" w:hAnsi="times new roman;times"/>
          <w:sz w:val="24"/>
        </w:rPr>
        <w:t xml:space="preserve"> (регистрационный № 6443 от 22 мая 2013 года) (САЗ 13-20), </w:t>
      </w:r>
      <w:hyperlink r:id="rId20">
        <w:r>
          <w:rPr>
            <w:rFonts w:ascii="times new roman;times" w:hAnsi="times new roman;times"/>
            <w:sz w:val="24"/>
            <w:color w:val="0563C1"/>
            <w:u w:val="single"/>
          </w:rPr>
          <w:t xml:space="preserve">от 12 ноября 2013 года № 728-У</w:t>
        </w:r>
      </w:hyperlink>
      <w:r>
        <w:rPr>
          <w:rFonts w:ascii="times new roman;times" w:hAnsi="times new roman;times"/>
          <w:sz w:val="24"/>
        </w:rPr>
        <w:t xml:space="preserve"> (регистрационный № 6629 от 6 декабря 2013 года) (САЗ 13-48), </w:t>
      </w:r>
      <w:hyperlink r:id="rId21">
        <w:r>
          <w:rPr>
            <w:rFonts w:ascii="times new roman;times" w:hAnsi="times new roman;times"/>
            <w:sz w:val="24"/>
            <w:color w:val="0563C1"/>
            <w:u w:val="single"/>
          </w:rPr>
          <w:t xml:space="preserve">от 25 декабря 2013 года № 751-У</w:t>
        </w:r>
      </w:hyperlink>
      <w:r>
        <w:rPr>
          <w:rFonts w:ascii="times new roman;times" w:hAnsi="times new roman;times"/>
          <w:sz w:val="24"/>
        </w:rPr>
        <w:t xml:space="preserve"> (регистрационный № 6701 от 6 февраля 2014 года) (САЗ 14-6), </w:t>
      </w:r>
      <w:hyperlink r:id="rId22">
        <w:r>
          <w:rPr>
            <w:rFonts w:ascii="times new roman;times" w:hAnsi="times new roman;times"/>
            <w:sz w:val="24"/>
            <w:color w:val="0563C1"/>
            <w:u w:val="single"/>
          </w:rPr>
          <w:t xml:space="preserve">от 19 ноября 2014 года № 819-У</w:t>
        </w:r>
      </w:hyperlink>
      <w:r>
        <w:rPr>
          <w:rFonts w:ascii="times new roman;times" w:hAnsi="times new roman;times"/>
          <w:sz w:val="24"/>
        </w:rPr>
        <w:t xml:space="preserve"> (регистрационный № 6972 от 11 декабря 2014 года) (САЗ 14-50), </w:t>
      </w:r>
      <w:hyperlink r:id="rId23">
        <w:r>
          <w:rPr>
            <w:rFonts w:ascii="times new roman;times" w:hAnsi="times new roman;times"/>
            <w:sz w:val="24"/>
            <w:color w:val="0563C1"/>
            <w:u w:val="single"/>
          </w:rPr>
          <w:t xml:space="preserve">от 23 ноября 2015 года № 880-У</w:t>
        </w:r>
      </w:hyperlink>
      <w:r>
        <w:rPr>
          <w:rFonts w:ascii="times new roman;times" w:hAnsi="times new roman;times"/>
          <w:sz w:val="24"/>
        </w:rPr>
        <w:t xml:space="preserve"> (регистрационный № 7315 от 17 декабря 2015 года) (САЗ 15-51), </w:t>
      </w:r>
      <w:hyperlink r:id="rId24">
        <w:r>
          <w:rPr>
            <w:rFonts w:ascii="times new roman;times" w:hAnsi="times new roman;times"/>
            <w:sz w:val="24"/>
            <w:color w:val="0563C1"/>
            <w:u w:val="single"/>
          </w:rPr>
          <w:t xml:space="preserve">от 22 января 2016 года № 890-У</w:t>
        </w:r>
      </w:hyperlink>
      <w:r>
        <w:rPr>
          <w:rFonts w:ascii="times new roman;times" w:hAnsi="times new roman;times"/>
          <w:sz w:val="24"/>
        </w:rPr>
        <w:t xml:space="preserve"> (регистрационный № 7360 от 19 февраля 2016 года) (САЗ 16-7), </w:t>
      </w:r>
      <w:hyperlink r:id="rId25">
        <w:r>
          <w:rPr>
            <w:rFonts w:ascii="times new roman;times" w:hAnsi="times new roman;times"/>
            <w:sz w:val="24"/>
            <w:color w:val="0563C1"/>
            <w:u w:val="single"/>
          </w:rPr>
          <w:t xml:space="preserve">от 11 ноября 2016 года № 939-У</w:t>
        </w:r>
      </w:hyperlink>
      <w:r>
        <w:rPr>
          <w:rFonts w:ascii="times new roman;times" w:hAnsi="times new roman;times"/>
          <w:sz w:val="24"/>
        </w:rPr>
        <w:t xml:space="preserve"> (регистрационный № 7669 от 25 ноября 2016 года) (САЗ 16-47), </w:t>
      </w:r>
      <w:hyperlink r:id="rId26">
        <w:r>
          <w:rPr>
            <w:rFonts w:ascii="times new roman;times" w:hAnsi="times new roman;times"/>
            <w:sz w:val="24"/>
            <w:color w:val="0563C1"/>
            <w:u w:val="single"/>
          </w:rPr>
          <w:t xml:space="preserve">от 13 октября 2017 года № 1018-У</w:t>
        </w:r>
      </w:hyperlink>
      <w:r>
        <w:rPr>
          <w:rFonts w:ascii="times new roman;times" w:hAnsi="times new roman;times"/>
          <w:sz w:val="24"/>
        </w:rPr>
        <w:t xml:space="preserve"> (регистрационный № 8022 от 8 ноября 2017 года) (САЗ 17-46), </w:t>
      </w:r>
      <w:hyperlink r:id="rId27">
        <w:r>
          <w:rPr>
            <w:rFonts w:ascii="times new roman;times" w:hAnsi="times new roman;times"/>
            <w:sz w:val="24"/>
            <w:color w:val="0563C1"/>
            <w:u w:val="single"/>
          </w:rPr>
          <w:t xml:space="preserve">от 23 апреля 2018 года № 1066-У</w:t>
        </w:r>
      </w:hyperlink>
      <w:r>
        <w:rPr>
          <w:rFonts w:ascii="times new roman;times" w:hAnsi="times new roman;times"/>
          <w:sz w:val="24"/>
        </w:rPr>
        <w:t xml:space="preserve"> (регистрационный № 8254 от 24 мая 2018 года) (САЗ 18-21), </w:t>
      </w:r>
      <w:hyperlink r:id="rId28">
        <w:r>
          <w:rPr>
            <w:rFonts w:ascii="times new roman;times" w:hAnsi="times new roman;times"/>
            <w:sz w:val="24"/>
            <w:color w:val="0563C1"/>
            <w:u w:val="single"/>
          </w:rPr>
          <w:t xml:space="preserve">от 10 мая 2018 года № 1068-У</w:t>
        </w:r>
      </w:hyperlink>
      <w:r>
        <w:rPr>
          <w:rFonts w:ascii="times new roman;times" w:hAnsi="times new roman;times"/>
          <w:sz w:val="24"/>
        </w:rPr>
        <w:t xml:space="preserve"> (регистрационный № 8265 от 30 мая 2018 года) (САЗ 18-22), </w:t>
      </w:r>
      <w:hyperlink r:id="rId29">
        <w:r>
          <w:rPr>
            <w:rFonts w:ascii="times new roman;times" w:hAnsi="times new roman;times"/>
            <w:sz w:val="24"/>
            <w:color w:val="0563C1"/>
            <w:u w:val="single"/>
          </w:rPr>
          <w:t xml:space="preserve">от 23 мая 2018 года № 1073-У</w:t>
        </w:r>
      </w:hyperlink>
      <w:r>
        <w:rPr>
          <w:rFonts w:ascii="times new roman;times" w:hAnsi="times new roman;times"/>
          <w:sz w:val="24"/>
        </w:rPr>
        <w:t xml:space="preserve"> (регистрационный № 8285 от 11 июня 2018 года) (САЗ 18-24), </w:t>
      </w:r>
      <w:hyperlink r:id="rId30">
        <w:r>
          <w:rPr>
            <w:rFonts w:ascii="times new roman;times" w:hAnsi="times new roman;times"/>
            <w:sz w:val="24"/>
            <w:color w:val="0563C1"/>
            <w:u w:val="single"/>
          </w:rPr>
          <w:t xml:space="preserve">от 15 ноября 2018 года № 1122-У</w:t>
        </w:r>
      </w:hyperlink>
      <w:r>
        <w:rPr>
          <w:rFonts w:ascii="times new roman;times" w:hAnsi="times new roman;times"/>
          <w:sz w:val="24"/>
        </w:rPr>
        <w:t xml:space="preserve"> (регистрационный № 8568 от 7 декабря 2018 года) (САЗ 18-49), </w:t>
      </w:r>
      <w:hyperlink r:id="rId31">
        <w:r>
          <w:rPr>
            <w:rFonts w:ascii="times new roman;times" w:hAnsi="times new roman;times"/>
            <w:sz w:val="24"/>
            <w:color w:val="0563C1"/>
            <w:u w:val="single"/>
          </w:rPr>
          <w:t xml:space="preserve">от 7 декабря 2018 года № 1128-У</w:t>
        </w:r>
      </w:hyperlink>
      <w:r>
        <w:rPr>
          <w:rFonts w:ascii="times new roman;times" w:hAnsi="times new roman;times"/>
          <w:sz w:val="24"/>
        </w:rPr>
        <w:t xml:space="preserve"> (регистрационный № 8702 от 20 февраля 2019 года) (САЗ 19-7), </w:t>
      </w:r>
      <w:hyperlink r:id="rId32">
        <w:r>
          <w:rPr>
            <w:rFonts w:ascii="times new roman;times" w:hAnsi="times new roman;times"/>
            <w:sz w:val="24"/>
            <w:color w:val="0563C1"/>
            <w:u w:val="single"/>
          </w:rPr>
          <w:t xml:space="preserve">от 14 мая 2019 года № 1157-У</w:t>
        </w:r>
      </w:hyperlink>
      <w:r>
        <w:rPr>
          <w:rFonts w:ascii="times new roman;times" w:hAnsi="times new roman;times"/>
          <w:sz w:val="24"/>
        </w:rPr>
        <w:t xml:space="preserve"> (регистрационный № 8902 от 13 июня 2019 года) (САЗ 19-22), </w:t>
      </w:r>
      <w:hyperlink r:id="rId33">
        <w:r>
          <w:rPr>
            <w:rFonts w:ascii="times new roman;times" w:hAnsi="times new roman;times"/>
            <w:sz w:val="24"/>
            <w:color w:val="0563C1"/>
            <w:u w:val="single"/>
          </w:rPr>
          <w:t xml:space="preserve">от 15 октября 2019 года № 1195-У</w:t>
        </w:r>
      </w:hyperlink>
      <w:r>
        <w:rPr>
          <w:rFonts w:ascii="times new roman;times" w:hAnsi="times new roman;times"/>
          <w:sz w:val="24"/>
        </w:rPr>
        <w:t xml:space="preserve"> (регистрационный № 9176 от 22 ноября 2019 года) (САЗ 19-45), </w:t>
      </w:r>
      <w:hyperlink r:id="rId34">
        <w:r>
          <w:rPr>
            <w:rFonts w:ascii="times new roman;times" w:hAnsi="times new roman;times"/>
            <w:sz w:val="24"/>
            <w:color w:val="0563C1"/>
            <w:u w:val="single"/>
          </w:rPr>
          <w:t xml:space="preserve">от 28 ноября 2019 года № 1212-У</w:t>
        </w:r>
      </w:hyperlink>
      <w:r>
        <w:rPr>
          <w:rFonts w:ascii="times new roman;times" w:hAnsi="times new roman;times"/>
          <w:sz w:val="24"/>
        </w:rPr>
        <w:t xml:space="preserve"> (регистрационный № 9247 от 24 декабря 2019 года) (САЗ 19-50), </w:t>
      </w:r>
      <w:hyperlink r:id="rId35">
        <w:r>
          <w:rPr>
            <w:rFonts w:ascii="times new roman;times" w:hAnsi="times new roman;times"/>
            <w:sz w:val="24"/>
            <w:color w:val="0563C1"/>
            <w:u w:val="single"/>
          </w:rPr>
          <w:t xml:space="preserve">от 31 марта 2020 года № 1254-У</w:t>
        </w:r>
      </w:hyperlink>
      <w:r>
        <w:rPr>
          <w:rFonts w:ascii="times new roman;times" w:hAnsi="times new roman;times"/>
          <w:sz w:val="24"/>
        </w:rPr>
        <w:t xml:space="preserve"> (регистрационный № 9530 от 29 мая 2020 года) (САЗ 20-22), </w:t>
      </w:r>
      <w:hyperlink r:id="rId36">
        <w:r>
          <w:rPr>
            <w:rFonts w:ascii="times new roman;times" w:hAnsi="times new roman;times"/>
            <w:sz w:val="24"/>
            <w:color w:val="0563C1"/>
            <w:u w:val="single"/>
          </w:rPr>
          <w:t xml:space="preserve">от 5 мая 2020 года № 1259-У</w:t>
        </w:r>
      </w:hyperlink>
      <w:r>
        <w:rPr>
          <w:rFonts w:ascii="times new roman;times" w:hAnsi="times new roman;times"/>
          <w:sz w:val="24"/>
        </w:rPr>
        <w:t xml:space="preserve"> (регистрационный № 9540 от 9 июня 2020 года) (САЗ 20-24), </w:t>
      </w:r>
      <w:hyperlink r:id="rId37">
        <w:r>
          <w:rPr>
            <w:rFonts w:ascii="times new roman;times" w:hAnsi="times new roman;times"/>
            <w:sz w:val="24"/>
            <w:color w:val="0563C1"/>
            <w:u w:val="single"/>
          </w:rPr>
          <w:t xml:space="preserve">от 22 октября 2020 года № 1298-У</w:t>
        </w:r>
      </w:hyperlink>
      <w:r>
        <w:rPr>
          <w:rFonts w:ascii="times new roman;times" w:hAnsi="times new roman;times"/>
          <w:sz w:val="24"/>
        </w:rPr>
        <w:t xml:space="preserve"> (регистрационный № 9816 от 16 ноября 2020 года) (САЗ 20-47), </w:t>
      </w:r>
      <w:hyperlink r:id="rId38">
        <w:r>
          <w:rPr>
            <w:rFonts w:ascii="times new roman;times" w:hAnsi="times new roman;times"/>
            <w:sz w:val="24"/>
            <w:color w:val="0563C1"/>
            <w:u w:val="single"/>
          </w:rPr>
          <w:t xml:space="preserve">от 17 июня 2021 года № 1353-У</w:t>
        </w:r>
      </w:hyperlink>
      <w:r>
        <w:rPr>
          <w:rFonts w:ascii="times new roman;times" w:hAnsi="times new roman;times"/>
          <w:sz w:val="24"/>
        </w:rPr>
        <w:t xml:space="preserve"> (регистрационный № 10359 от 25 июня 2021 года) (САЗ 21-25), </w:t>
      </w:r>
      <w:hyperlink r:id="rId39">
        <w:r>
          <w:rPr>
            <w:rFonts w:ascii="times new roman;times" w:hAnsi="times new roman;times"/>
            <w:sz w:val="24"/>
            <w:color w:val="0563C1"/>
            <w:u w:val="single"/>
          </w:rPr>
          <w:t xml:space="preserve">от 14 июля 2022 года № 1424-У</w:t>
        </w:r>
      </w:hyperlink>
      <w:r>
        <w:rPr>
          <w:rFonts w:ascii="times new roman;times" w:hAnsi="times new roman;times"/>
          <w:sz w:val="24"/>
        </w:rPr>
        <w:t xml:space="preserve"> (регистрационный № 11226 от 24 августа 2022 года) (САЗ 22-33), </w:t>
      </w:r>
      <w:hyperlink r:id="rId40">
        <w:r>
          <w:rPr>
            <w:rFonts w:ascii="times new roman;times" w:hAnsi="times new roman;times"/>
            <w:sz w:val="24"/>
            <w:color w:val="0563C1"/>
            <w:u w:val="single"/>
          </w:rPr>
          <w:t xml:space="preserve">от 29 декабря 2022 года № 1453-У</w:t>
        </w:r>
      </w:hyperlink>
      <w:r>
        <w:rPr>
          <w:rFonts w:ascii="times new roman;times" w:hAnsi="times new roman;times"/>
          <w:sz w:val="24"/>
        </w:rPr>
        <w:t xml:space="preserve"> (регистрационный № 11475 от 17 января 2023 года) (САЗ 23-3), </w:t>
      </w:r>
      <w:hyperlink r:id="rId41">
        <w:r>
          <w:rPr>
            <w:rFonts w:ascii="times new roman;times" w:hAnsi="times new roman;times"/>
            <w:sz w:val="24"/>
            <w:color w:val="0563C1"/>
            <w:u w:val="single"/>
          </w:rPr>
          <w:t xml:space="preserve">от 22 сентября 2023 года № 1500-У</w:t>
        </w:r>
      </w:hyperlink>
      <w:r>
        <w:rPr>
          <w:rFonts w:ascii="times new roman;times" w:hAnsi="times new roman;times"/>
          <w:sz w:val="24"/>
        </w:rPr>
        <w:t xml:space="preserve"> (регистрационный № 12046 от 18 октября 2023 года) (САЗ 23-42), </w:t>
      </w:r>
      <w:hyperlink r:id="rId42">
        <w:r>
          <w:rPr>
            <w:rFonts w:ascii="times new roman;times" w:hAnsi="times new roman;times"/>
            <w:sz w:val="24"/>
            <w:color w:val="0563C1"/>
            <w:u w:val="single"/>
          </w:rPr>
          <w:t xml:space="preserve">от 22 декабря 2023 года № 1525-У</w:t>
        </w:r>
      </w:hyperlink>
      <w:r>
        <w:rPr>
          <w:rFonts w:ascii="times new roman;times" w:hAnsi="times new roman;times"/>
          <w:sz w:val="24"/>
        </w:rPr>
        <w:t xml:space="preserve"> (регистрационный № 12195 от 26 декабря 2023 года) (САЗ 24-1) (далее – Инструкция),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строку 18 Таблицы Приложения № 1 к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w:t>
      </w:r>
    </w:p>
    <w:tbl>
      <w:tblPr>
        <w:tblW w:w="5000" w:type="pct"/>
        <w:jc w:val="left"/>
        <w:tblInd w:w="0" w:type="dxa"/>
        <w:tblLayout w:type="fixed"/>
        <w:tblCellMar>
          <w:top w:w="28" w:type="dxa"/>
          <w:left w:w="28" w:type="dxa"/>
          <w:bottom w:w="28" w:type="dxa"/>
          <w:right w:w="28" w:type="dxa"/>
        </w:tblCellMar>
      </w:tblPr>
      <w:tblGrid>
        <w:gridCol w:w="1017"/>
        <w:gridCol w:w="6605"/>
        <w:gridCol w:w="2583"/>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«Данные о полной стоимости потребительских кредитов (займов) в процентах годовых»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Приложение № 20</w:t>
            </w:r>
          </w:p>
        </w:tc>
      </w:tr>
    </w:tbl>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Приложение № 20 к Инструкции изложить в редакции согласно Приложению № 1 к настоящему Указанию.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Указание вступает в силу со дня, следующего за днем официального опубликования, и подлежит применению при составлении и представлении отчета за отчетный период, начинающийся 1 октября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ТИДВА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октября 2024 г.</w:t>
      </w:r>
    </w:p>
    <w:p>
      <w:pPr>
        <w:pStyle w:val="BodyTextoutside-table"/>
        <w:bidi w:val="0"/>
        <w:spacing w:before="0" w:after="283"/>
        <w:ind w:firstLine="709" w:left="0" w:right="0"/>
        <w:jc w:val="left"/>
        <w:rPr/>
      </w:pPr>
      <w:r>
        <w:rPr/>
        <w:t> № </w:t>
      </w:r>
      <w:r>
        <w:rPr>
          <w:rFonts w:ascii="times new roman;times" w:hAnsi="times new roman;times"/>
          <w:sz w:val="24"/>
        </w:rPr>
        <w:t>1574-У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Указанию Приднестровского республиканского банка </w:t>
      </w:r>
    </w:p>
    <w:p>
      <w:pPr>
        <w:pStyle w:val="BodyTextoutside-table"/>
        <w:bidi w:val="0"/>
        <w:spacing w:before="0" w:after="283"/>
        <w:ind w:firstLine="709" w:left="0" w:right="0"/>
        <w:jc w:val="right"/>
        <w:rPr>
          <w:rFonts w:ascii="times new roman;times" w:hAnsi="times new roman;times"/>
          <w:sz w:val="20"/>
        </w:rPr>
      </w:pPr>
      <w:hyperlink r:id="rId43">
        <w:r>
          <w:rPr>
            <w:rFonts w:ascii="times new roman;times" w:hAnsi="times new roman;times"/>
            <w:sz w:val="20"/>
            <w:color w:val="0563C1"/>
            <w:u w:val="single"/>
          </w:rPr>
          <w:t xml:space="preserve">от 29 октября 2024 года № 1574-У</w:t>
        </w:r>
      </w:hyperlink>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 внесении изменений в Инструкцию Приднестровского республиканского банка </w:t>
      </w:r>
    </w:p>
    <w:p>
      <w:pPr>
        <w:pStyle w:val="BodyTextoutside-table"/>
        <w:bidi w:val="0"/>
        <w:spacing w:before="0" w:after="283"/>
        <w:ind w:firstLine="709" w:left="0" w:right="0"/>
        <w:jc w:val="right"/>
        <w:rPr>
          <w:rFonts w:ascii="times new roman;times" w:hAnsi="times new roman;times"/>
          <w:sz w:val="20"/>
        </w:rPr>
      </w:pPr>
      <w:hyperlink r:id="rId8">
        <w:r>
          <w:rPr>
            <w:rFonts w:ascii="times new roman;times" w:hAnsi="times new roman;times"/>
            <w:sz w:val="20"/>
            <w:color w:val="0563C1"/>
            <w:u w:val="single"/>
          </w:rPr>
          <w:t xml:space="preserve">от 2 июля 2008 года № 25-И «О порядке представления кредитными</w:t>
        </w:r>
      </w:hyperlink>
    </w:p>
    <w:p>
      <w:pPr>
        <w:pStyle w:val="BodyTextoutside-table"/>
        <w:bidi w:val="0"/>
        <w:spacing w:before="0" w:after="283"/>
        <w:ind w:firstLine="709" w:left="0" w:right="0"/>
        <w:jc w:val="right"/>
        <w:rPr>
          <w:rFonts w:ascii="times new roman;times" w:hAnsi="times new roman;times"/>
          <w:sz w:val="20"/>
        </w:rPr>
      </w:pPr>
      <w:hyperlink r:id="rId8">
        <w:r>
          <w:rPr>
            <w:rFonts w:ascii="times new roman;times" w:hAnsi="times new roman;times"/>
            <w:sz w:val="20"/>
            <w:color w:val="0563C1"/>
            <w:u w:val="single"/>
          </w:rPr>
          <w:t xml:space="preserve">организациями отдельных форм отчетности в Приднестровский республиканский банк»</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20</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Инструкции Приднестровского республиканского банка</w:t>
      </w:r>
    </w:p>
    <w:p>
      <w:pPr>
        <w:pStyle w:val="BodyTextoutside-table"/>
        <w:bidi w:val="0"/>
        <w:spacing w:before="0" w:after="283"/>
        <w:ind w:firstLine="709" w:left="0" w:right="0"/>
        <w:jc w:val="right"/>
        <w:rPr>
          <w:rFonts w:ascii="times new roman;times" w:hAnsi="times new roman;times"/>
          <w:sz w:val="20"/>
        </w:rPr>
      </w:pPr>
      <w:hyperlink r:id="rId44">
        <w:r>
          <w:rPr>
            <w:rFonts w:ascii="times new roman;times" w:hAnsi="times new roman;times"/>
            <w:sz w:val="20"/>
            <w:color w:val="0563C1"/>
            <w:u w:val="single"/>
          </w:rPr>
          <w:t xml:space="preserve">от 2 июля 2008 года № 25-И</w:t>
        </w:r>
      </w:hyperlink>
      <w:r>
        <w:rPr>
          <w:rFonts w:ascii="times new roman;times" w:hAnsi="times new roman;times"/>
          <w:sz w:val="20"/>
        </w:rPr>
        <w:t xml:space="preserve">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 порядке представления кредитными организациями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отдельных форм отчетности в Приднестровский республиканский банк»</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Структура форматного электронного документа «Данные о полной стоимости потребительских кредитов (займов) в процентах годовых»</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Периодичность отчетности: ежеквартальная</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htts://services.cbpmr.net:11443/sois.md – СОИС (Cистема обмена информационными сообщениями) – тип запроса:consumer_loans</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Таблица № 1</w:t>
      </w:r>
    </w:p>
    <w:p>
      <w:pPr>
        <w:pStyle w:val="BodyTextoutside-table"/>
        <w:bidi w:val="0"/>
        <w:spacing w:before="0" w:after="283"/>
        <w:ind w:firstLine="709" w:left="0" w:right="0"/>
        <w:jc w:val="right"/>
        <w:rPr/>
      </w:pPr>
      <w:r>
        <w:rPr/>
        <w:t> </w:t>
      </w:r>
      <w:r>
        <mc:AlternateContent>
          <mc:Choice Requires="wps">
            <w:drawing>
              <wp:anchor behindDoc="0" distT="0" distB="0" distL="0" distR="0" simplePos="0" locked="0" layoutInCell="1" allowOverlap="1" relativeHeight="2">
                <wp:simplePos x="0" y="0"/>
                <wp:positionH relativeFrom="column">
                  <wp:align>left</wp:align>
                </wp:positionH>
                <wp:positionV relativeFrom="line">
                  <wp:posOffset>635</wp:posOffset>
                </wp:positionV>
                <wp:extent cx="6480175" cy="2473325"/>
                <wp:effectExtent l="0" t="0" r="0" b="0"/>
                <wp:wrapSquare wrapText="right"/>
                <wp:docPr id="1" name="Frame1"/>
                <a:graphic xmlns:a="http://schemas.openxmlformats.org/drawingml/2006/main">
                  <a:graphicData uri="http://schemas.microsoft.com/office/word/2010/wordprocessingShape">
                    <wps:wsp>
                      <wps:cNvSpPr txBox="1"/>
                      <wps:spPr>
                        <a:xfrm>
                          <a:off x="0" y="0"/>
                          <a:ext cx="6480175" cy="2473325"/>
                        </a:xfrm>
                        <a:prstGeom prst="rect"/>
                        <a:solidFill>
                          <a:srgbClr val="FFFFFF"/>
                        </a:solidFill>
                      </wps:spPr>
                      <wps:txbx>
                        <w:txbxContent>
                          <w:tbl>
                            <w:tblPr>
                              <w:tblW w:w="10205" w:type="dxa"/>
                              <w:jc w:val="left"/>
                              <w:tblInd w:w="0" w:type="dxa"/>
                              <w:tblLayout w:type="fixed"/>
                              <w:tblCellMar>
                                <w:top w:w="28" w:type="dxa"/>
                                <w:left w:w="28" w:type="dxa"/>
                                <w:bottom w:w="28" w:type="dxa"/>
                                <w:right w:w="28" w:type="dxa"/>
                              </w:tblCellMar>
                            </w:tblPr>
                            <w:tblGrid>
                              <w:gridCol w:w="1064"/>
                              <w:gridCol w:w="9141"/>
                            </w:tblGrid>
                            <w:tr>
                              <w:trPr/>
                              <w:tc>
                                <w:tcPr>
                                  <w:tcW w:w="106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20"/>
                                    </w:rPr>
                                    <w:t>п/п</w:t>
                                  </w:r>
                                </w:p>
                              </w:tc>
                              <w:tc>
                                <w:tcPr>
                                  <w:tcW w:w="91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поля</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Код учреждения банка</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Дата отчета в формате дд.мм.гггг</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ФИО заемщика (текстовая информация длиной до 250 символов)</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Категория потребительского кредита (займа) (заполняется в соответствии с таблицей № 2 настоящего Приложения)</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Категория заемщика (заполняется в соответствии с таблицей № 3 настоящего Приложения)</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Цифровой код валюты (заполняется в соответствии с Классификатором валют. Целое число)</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Полная стоимость потребительского кредита (займа) в процентах годовых (%, в формате 0.0)</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Сумма выданного кредита (займа), рублей ПМР</w:t>
                                  </w:r>
                                </w:p>
                              </w:tc>
                            </w:tr>
                          </w:tbl>
                        </w:txbxContent>
                      </wps:txbx>
                      <wps:bodyPr anchor="t" lIns="0" tIns="0" rIns="0" bIns="0">
                        <a:noAutofit/>
                      </wps:bodyPr>
                    </wps:wsp>
                  </a:graphicData>
                </a:graphic>
              </wp:anchor>
            </w:drawing>
          </mc:Choice>
          <mc:Fallback>
            <w:pict>
              <v:rect style="position:absolute;rotation:-0;width:510.25pt;height:194.75pt;mso-wrap-distance-left:0pt;mso-wrap-distance-right:0pt;mso-wrap-distance-top:0pt;mso-wrap-distance-bottom:0pt;margin-top:0pt;mso-position-vertical:top;mso-position-vertical-relative:text;margin-left:0pt;mso-position-horizontal:left;mso-position-horizontal-relative:text">
                <v:textbox>
                  <w:txbxContent>
                    <w:tbl>
                      <w:tblPr>
                        <w:tblW w:w="10205" w:type="dxa"/>
                        <w:jc w:val="left"/>
                        <w:tblInd w:w="0" w:type="dxa"/>
                        <w:tblLayout w:type="fixed"/>
                        <w:tblCellMar>
                          <w:top w:w="28" w:type="dxa"/>
                          <w:left w:w="28" w:type="dxa"/>
                          <w:bottom w:w="28" w:type="dxa"/>
                          <w:right w:w="28" w:type="dxa"/>
                        </w:tblCellMar>
                      </w:tblPr>
                      <w:tblGrid>
                        <w:gridCol w:w="1064"/>
                        <w:gridCol w:w="9141"/>
                      </w:tblGrid>
                      <w:tr>
                        <w:trPr/>
                        <w:tc>
                          <w:tcPr>
                            <w:tcW w:w="1064"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xml:space="preserve">№ </w:t>
                            </w:r>
                            <w:r>
                              <w:rPr>
                                <w:rFonts w:ascii="times new roman;times" w:hAnsi="times new roman;times"/>
                                <w:sz w:val="20"/>
                              </w:rPr>
                              <w:t>п/п</w:t>
                            </w:r>
                          </w:p>
                        </w:tc>
                        <w:tc>
                          <w:tcPr>
                            <w:tcW w:w="9141" w:type="dxa"/>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поля</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Код учреждения банка</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Дата отчета в формате дд.мм.гггг</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ФИО заемщика (текстовая информация длиной до 250 символов)</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Категория потребительского кредита (займа) (заполняется в соответствии с таблицей № 2 настоящего Приложения)</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Категория заемщика (заполняется в соответствии с таблицей № 3 настоящего Приложения)</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Цифровой код валюты (заполняется в соответствии с Классификатором валют. Целое число)</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Полная стоимость потребительского кредита (займа) в процентах годовых (%, в формате 0.0)</w:t>
                            </w:r>
                          </w:p>
                        </w:tc>
                      </w:tr>
                      <w:tr>
                        <w:trPr/>
                        <w:tc>
                          <w:tcPr>
                            <w:tcW w:w="1064"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9141"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Сумма выданного кредита (займа), рублей ПМР</w:t>
                            </w:r>
                          </w:p>
                        </w:tc>
                      </w:tr>
                    </w:tbl>
                  </w:txbxContent>
                </v:textbox>
                <w10:wrap type="square" side="right"/>
              </v:rect>
            </w:pict>
          </mc:Fallback>
        </mc:AlternateConten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r>
        <w:rPr>
          <w:rFonts w:ascii="times new roman;times" w:hAnsi="times new roman;times"/>
          <w:sz w:val="20"/>
        </w:rPr>
        <w:t>Таблица № 2</w:t>
      </w:r>
    </w:p>
    <w:p>
      <w:pPr>
        <w:pStyle w:val="BodyTextoutside-table"/>
        <w:bidi w:val="0"/>
        <w:spacing w:before="0" w:after="283"/>
        <w:ind w:firstLine="709" w:left="0" w:right="0"/>
        <w:jc w:val="right"/>
        <w:rPr/>
      </w:pPr>
      <w:r>
        <w:rPr/>
        <w:t> </w:t>
      </w:r>
    </w:p>
    <w:tbl>
      <w:tblPr>
        <w:tblW w:w="5000" w:type="pct"/>
        <w:jc w:val="left"/>
        <w:tblInd w:w="0" w:type="dxa"/>
        <w:tblLayout w:type="fixed"/>
        <w:tblCellMar>
          <w:top w:w="28" w:type="dxa"/>
          <w:left w:w="28" w:type="dxa"/>
          <w:bottom w:w="28" w:type="dxa"/>
          <w:right w:w="28" w:type="dxa"/>
        </w:tblCellMar>
      </w:tblPr>
      <w:tblGrid>
        <w:gridCol w:w="1348"/>
        <w:gridCol w:w="7754"/>
        <w:gridCol w:w="110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Номер</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строки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Категории потребительских кредитов (займов)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Код</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на цели приобретения автотранспортных средств с залогом автотранспортного средства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автомобили с пробегом от 0 до 1000 км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автомобили с пробегом свыше 1000 км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с лимитом кредитования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тыс. руб. до 50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50 тыс. руб. до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100 тыс. руб. до 300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240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300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250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(займы), предоставляемые путем перечисления заемных средств торгово-сервисному предприятию в счет оплаты товаров (услуг) при наличии соответствующего договора с торгово-сервисным предприятием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предоставляемые с использованием электронного средства платежа (POS-кредиты)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 года, в том числе: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тыс. руб. до 50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50 тыс. руб. до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3114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 года, в том числе: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тыс. руб. до 50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50 тыс. руб. до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предоставляемые без использования электронного средства платежа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 года, в том числе: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тыс. руб. до 50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50 тыс. руб. до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3214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 года, в том числе: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тыс. руб. до 50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50 тыс. руб. до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Нецелевые потребительские кредиты, целевые потребительские кредиты без залога (кроме потребительских кредитов (займов), предоставляемых путем перечисления заемных средств торгово-сервисной организации в счет оплаты товаров (услуг))</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 года, в том числе: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тыс. руб. до 50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50 тыс. руб. до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100 тыс. руб. до 300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300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 года, в том числе: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 тыс. руб. до 50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50 тыс. руб. до 100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100 тыс. руб. до 300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300 тыс. руб.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предоставляемые при условии получения заемщиком регулярных выплат на свой банковский счет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кредиты «овердрафт»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прочие кредиты (без учета кредитов «овердрафт»)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обязательства заемщиков по которым обеспечены ипотекой, предоставляемые на цели приобретения объекта недвижимости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обязательства заемщиков по которым обеспечены ипотекой, предоставляемые на цели приобретения прав пользования земельным участком и (или) строительство жилого дома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Иные потребительские кредиты, обязательства заемщиков по которым обеспечены недвижимым имуществом, залогом автотранспортного средства, а также иным залогом, гарантией или поручительством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предоставляемые на рефинансирование задолженности по кредитам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 кредитам, предоставленным на цели приобретения объекта недвижимости и обеспеченным ипотекой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 кредитам, предоставленным на иные цели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Потребительские кредиты, предоставляемые на нестандартных условиях с суммой выдачи свыше 1 700 тыс. руб., кроме обеспеченных ипотекой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 1 года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свыше 1 года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1020</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0"/>
        </w:rPr>
      </w:pPr>
      <w:r>
        <w:rPr>
          <w:rFonts w:ascii="times new roman;times" w:hAnsi="times new roman;times"/>
          <w:sz w:val="20"/>
        </w:rPr>
        <w:t>Примечание: показатели с кодом 100, 200, 300, 3100, 3110, 3120, 3200, 3210, 3220, 400, 410, 420, 500, 900, 1000 не заполняются.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Таблица № 3</w:t>
      </w:r>
    </w:p>
    <w:p>
      <w:pPr>
        <w:pStyle w:val="BodyTextoutside-table"/>
        <w:bidi w:val="0"/>
        <w:spacing w:before="0" w:after="283"/>
        <w:ind w:firstLine="709" w:left="0" w:right="0"/>
        <w:jc w:val="right"/>
        <w:rPr/>
      </w:pPr>
      <w:r>
        <w:rPr/>
        <w:t> </w:t>
      </w:r>
    </w:p>
    <w:tbl>
      <w:tblPr>
        <w:tblW w:w="5000" w:type="pct"/>
        <w:jc w:val="left"/>
        <w:tblInd w:w="0" w:type="dxa"/>
        <w:tblLayout w:type="fixed"/>
        <w:tblCellMar>
          <w:top w:w="28" w:type="dxa"/>
          <w:left w:w="28" w:type="dxa"/>
          <w:bottom w:w="28" w:type="dxa"/>
          <w:right w:w="28" w:type="dxa"/>
        </w:tblCellMar>
      </w:tblPr>
      <w:tblGrid>
        <w:gridCol w:w="1070"/>
        <w:gridCol w:w="8052"/>
        <w:gridCol w:w="108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Категория заемщика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код</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Работники кредитора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Акционеры кредитора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Аффилированные лица кредитора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Заемщики по государственным программам субсидирования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Прочие заемщики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составления и представления отчета «Данные о полной стоимости потребительских кредитов (займов) в процентах годовых»</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Отчет «Данные о полной стоимости потребительских кредитов (займов) в процентах годовых» (далее – Отчет) составляется в целях ежеквартального расчета и опубликования Приднестровским республиканским банком среднерыночного значения полной стоимости потребительского кредита (займа) в процентах годовых по категориям потребительских кредитов (займов).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Отчет представляется в Приднестровский республиканский банк кредитными организациями в виде форматного электронного документа, заверенного электронной подписью, в соответствии со структурой форматного электронного документа «Данные о полной стоимости потребительских кредитов (займов) в процентах годовых» ежеквартально, по состоянию на 1-е число месяца, следующего за отчетным кварталом, не позднее 7-го рабочего дня месяца, следующего за отчетным кварталом.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Отчет включаются сводные данные по кредитной организации, включая филиалы, о кредитах (займах), выданных физическим лицам по договорам, заключенным в отчетном периоде.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Потребительские кредиты (займы), права (требования) по которым приобретены кредитной организацией (новым кредитором) по договору уступки требования (цессии), в Отчете не отражаются.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 потребительским кредитам (займам), предусматривающим беспроцентный период кредитования, указывается полная стоимость потребительского кредита (займа) в процентах годовых, рассчитанная исходя из максимально возможной процентной ставки, предусмотренной индивидуальными условиями договора потребительского кредита (займа).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В поле 8 «Сумма выданного кредита (займа), рублей ПМР» Таблицы №1 Отчета указывается сумма потребительского кредита (займа) по заключенному договору потребительского кредита (займа) в отчетном квартале, выраженная в рублях Приднестровской Молдавской Республики. Пересчет кредитов (займов), номинированных в иностранной валюте, производится в соответствии с требованиями нормативно-правового акта Приднестровского республиканского банка, регламентирующего порядок бухгалтерского учета в кредитных организациях, расположенных на территории Приднестровской Молдавской Республики. Потребительские кредиты (займы) в рублях Приднестровской Молдавской Республики, величина которых зависит от изменения применяемых кредитной организацией курсов иностранных валют по отношению к рублю Приднестровской Молдавской Республики, приравниваются к кредитам (займам), номинированным в иностранной валюте.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Отчет заполняется по категориям потребительских кредитов (займов) в соответствии с Таблицей №2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строке 1 отражаются потребительские кредиты (займы), индивидуальные условия предоставления которых определяют цель использования потребительского кредита (займа) как приобретение автотранспортного средства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автотранспортного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строке 2 отражаются потребительские кредиты (займы), индивидуальные условия предоставления которых, независимо от наличия или отсутствия цели использования кредита (займа), определяют сумму лимита кредитования, в том числе с использованием электронного средства платежа, и при недостаточности или отсутствии денежных средств на банковском счете клиента – физического лица («овердрафт»).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Отчете строка 2 не включает данные по потребительским кредитам (займам), учтенным в строках 1.1, 1.2, 3.1.1–3.2.4, 5–10.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строкам 2.1–2.5 Таблицы №2 Отчета «Потребительские кредиты с лимитом кредитования» включается сумма лимита кредитования (лимита задолженности и (или) лимита выдачи кредитной линии, в том числе возобновляемой), в том числе с использованием электронного средства платежа, – сумма кредитования, доступная заемщику на день заключения договора потребительского кредита (займа). В случае, если в договор потребительского кредита (займа) одновременно включены оба условия – о лимите задолженности и лимите выдачи, – принимается сумма лимита задолженности.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потребительским кредитам (займам) с лимитом кредитования полная стоимость потребительского кредита (займа) в процентах годовых, подлежащая уплате заемщиком, отражается с учетом применения норм пункта 16 статьи 5 Закона Приднестровской Молдавской Республики «О потребительском кредите (займе)» (в случае применения);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строке 3 отражаются потребительские кредиты (займы), индивидуальные условия предоставления которых независимо от наличия или отсутствия цели использования потребительского кредита (займа) и необходимости предоставления обеспечения исполнения обязательств по договору потребительского кредита (займа) определяют сумму потребительского кредита (займа) или лимит кредитования и которые предоставляются путем перечисления средств на основании письменных распоряжений клиентов-заемщиков – физических лиц торгово-сервисной организации в счет оплаты товаров (услуг) при наличии соответствующего договора.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Отчете строка 3 не включает данные по потребительским кредитам (займам), учтенным в строках 1.1, 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строке 3.1 отражаются потребительские кредиты (займы), выданные с использованием электронного средства платежа (платежной карты или ее реквизитов), предоставляемые путем перечисления заемных средств торгово-сервисной организации в счет оплаты товаров (услуг) при наличии соответствующего договора с торгово-сервисной организацией (POS-кредиты).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строке 3.2 отражаются потребительские кредиты (займы), предоставляемые путем перечисления заемных средств торгово-сервисной организации в счет оплаты товаров (услуг) при наличии соответствующего договора с торгово-сервисной организацией, кроме POS-кредитов;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строке 4 отражаются потребительские кредиты (займы), за исключением кредитов (займов) рефинансирования, индивидуальные условия предоставления которых определяют соответственно одно из следующих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сумму кредита (займа) без указания цели использования потребительского кредита (займа);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цель использования потребительского кредита (займа), но не указывают на необходимость предоставления обеспечения исполнения обязательств по договору потребительского кредита (займа) в виде залога.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Отчете строки 4.1.1–4.1.5 и 4.2.1–4.2.5 не включают данные по потребительским кредитам (займам), учтенным в строках 1.1, 1.2, 2.1–2.5, 3.1.1–3.1.4, 3.2.1–3.2.4, 5–10;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строке 5 отражаются потребительские кредиты (займы), индивидуальные условия предоставления которых предусматривают получение заемщиком на свой банковский счет, открытый у кредитора, заработной платы, иных регулярных выплат, начисляемых в связи с исполнением трудовых обязанностей, и (или) пенсий, пособий и иных социальных или компенсационных выплат, в том числе «овердрафт».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Отчете строка 5 не включает данные по потребительским кредитам (займам), учтенным в строках 2.1–2.5, 6–10;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 строке 6 Отчета отражаются потребительские кредиты (займы), индивидуальные условия предоставления которых определяют одну из следующих целей использования потребительского кредита (займа):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приобретение жилого помещения во вновь построенном многоквартирном доме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объекта недвижимости (далее – ипотека);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приобретение жилого помещения в многоквартирном доме на вторичном рынке жилья и указывают на необходимость предоставления обеспечения исполнения обязательств по договору потребительского кредита (займа) в виде ипотеки;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приобретение гаража либо машино-места и указывают на необходимость предоставления обеспечения исполнения обязательств по договору потребительского кредита (займа) в виде ипотеки;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исполнение обязательств по договору участия в долевом строительстве и указывают на необходимость предоставления обеспечения исполнения обязательств по договору потребительского кредита (займа) в виде залога прав требования участника долевого строительства по договору участия в долевом строительстве;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строке 7 Отчета отражаются потребительские кредиты (займы), индивидуальные условия предоставления которых определяют цель использования потребительского кредита (займа) как строительство жилого дома, либо приобретение земельного участка с жилым домом, либо приобретение прав пользования земельным участком и указывают на необходимость предоставления обеспечения исполнения обязательств по договору потребительского кредита (займа) в виде залога недвижимого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по строке 8 Отчета отражаются потребительские кредиты (займы), индивидуальные условия предоставления которых не зависимо от наличия цели использования потребительского кредита (займа), но указывают на необходимость предоставления обеспечения исполнения обязательств по договору потребительского кредита (займа) в виде залога недвижимого имущества или прав требования участника долевого строительства по договору участия в долевом строительстве, залогом автотранспортного средства, а также иных видов залога, гарантий или поручительств.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Отчете строка 8 не включает данные по потребительским кредитам (займам), учтенным в строках 1.1, 1.2, 2.1–2.5, 6, 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по строке 9 Отчета отражаются потребительские кредиты (займы), предоставленные на рефинансирование задолженности по кредитам;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по строке 10 Отчета отражаются потребительские кредиты (займы), предоставленные на нестандартных условиях с суммой выдачи в эквиваленте свыше 1 700 000 (одного миллиона семиста тысяч) рублей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Отчете строка 10 не включает данные по потребительским кредитам (займам), учтенным в строках 6 и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C2%A0%D0%B8%D1%8E%D0%BB%D1%8F%202008%C2%A0%D0%B3%D0%BE%D0%B4%D0%B0%20%E2%84%96%C2%A025-%D0%98%20%C2%AB%D0%9E%20%D0%BF%D0%BE%D1%80%D1%8F%D0%B4%D0%BA%D0%B5%20%D0%BF%D1%80%D0%B5%D0%B4%D1%81%D1%82%D0%B0%D0%B2%D0%BB%D0%B5%D0%BD%D0%B8%D1%8F%20%D0%BA%D1%80%D0%B5%D0%B4%D0%B8%D1%82%D0%BD%D1%8B%D0%BC%D0%B8%20%D0%BE%D1%80%D0%B3%D0%B0%D0%BD%D0%B8%D0%B7%D0%B0%D1%86%D0%B8%D1%8F%D0%BC%D0%B8%20%D0%BE%D1%82%D0%B4%D0%B5%D0%BB%D1%8C%D0%BD%D1%8B%D1%85%20%D1%84%D0%BE%D1%80%D0%BC%20%D0%BE%D1%82%D1%87%D0%B5%D1%82%D0%BD%D0%BE%D1%81%D1%82%D0%B8%20%D0%B2%20%D0%9F%D1%80%D0%B8%D0%B4%D0%BD%D0%B5%D1%81%D1%82%D1%80%D0%BE%D0%B2%D1%81%D0%BA%D0%B8%D0%B9%20%D1%80%D0%B5%D1%81%D0%BF%D1%83%D0%B1%D0%BB%D0%B8%D0%BA%D0%B0%D0%BD%D1%81%D0%BA%D0%B8%D0%B9%20%D0%B1%D0%B0%D0%BD%D0%BA%C2%BB" TargetMode="External"/><Relationship Id="rId6" Type="http://schemas.openxmlformats.org/officeDocument/2006/relationships/hyperlink" Target="documents/search/doc-link/?q=%D0%BE%D1%82%207%20%D0%BC%D0%B0%D1%8F%202007%C2%A0%D0%B3%D0%BE%D0%B4%D0%B0%20%E2%84%96%C2%A0212-%D0%97-IV%20%C2%AB%D0%9E%20%D1%86%D0%B5%D0%BD%D1%82%D1%80%D0%B0%D0%BB%D1%8C%D0%BD%D0%BE%D0%BC%20%D0%B1%D0%B0%D0%BD%D0%BA%D0%B5%20%D0%9F%D1%80%D0%B8%D0%B4%D0%BD%D0%B5%D1%81%D1%82%D1%80%D0%BE%D0%B2%D1%81%D0%BA%D0%BE%D0%B9%20%D0%9C%D0%BE%D0%BB%D0%B4%D0%B0%D0%B2%D1%81%D0%BA%D0%BE%D0%B9%20%D0%A0%D0%B5%D1%81%D0%BF%D1%83%D0%B1%D0%BB%D0%B8%D0%BA%D0%B8%C2%BB%20%28%D0%A1%D0%90%D0%97%2007-20%29" TargetMode="External"/><Relationship Id="rId7" Type="http://schemas.openxmlformats.org/officeDocument/2006/relationships/hyperlink" Target="documents/search/doc-link/?q=%D0%BE%D1%82%203%20%D0%B0%D0%B2%D0%B3%D1%83%D1%81%D1%82%D0%B0%202021%C2%A0%D0%B3%D0%BE%D0%B4%D0%B0%20%E2%84%96%C2%A0214-%D0%97-VII%20%C2%AB%D0%9E%C2%A0%D0%BF%D0%BE%D1%82%D1%80%D0%B5%D0%B1%D0%B8%D1%82%D0%B5%D0%BB%D1%8C%D1%81%D0%BA%D0%BE%D0%BC%20%D0%BA%D1%80%D0%B5%D0%B4%D0%B8%D1%82%D0%B5%20%28%D0%B7%D0%B0%D0%B9%D0%BC%D0%B5%29%C2%BB%20%28%D0%A1%D0%90%D0%97%2021-31%29" TargetMode="External"/><Relationship Id="rId8" Type="http://schemas.openxmlformats.org/officeDocument/2006/relationships/hyperlink" Target="documents/search/doc-link/?q=%D0%BE%D1%82%202%20%D0%B8%D1%8E%D0%BB%D1%8F%202008%C2%A0%D0%B3%D0%BE%D0%B4%D0%B0%20%E2%84%96%C2%A025-%D0%98%20%C2%AB%D0%9E%20%D0%BF%D0%BE%D1%80%D1%8F%D0%B4%D0%BA%D0%B5%20%D0%BF%D1%80%D0%B5%D0%B4%D1%81%D1%82%D0%B0%D0%B2%D0%BB%D0%B5%D0%BD%D0%B8%D1%8F%20%D0%BA%D1%80%D0%B5%D0%B4%D0%B8%D1%82%D0%BD%D1%8B%D0%BC%D0%B8%20%D0%BE%D1%80%D0%B3%D0%B0%D0%BD%D0%B8%D0%B7%D0%B0%D1%86%D0%B8%D1%8F%D0%BC%D0%B8%20%D0%BE%D1%82%D0%B4%D0%B5%D0%BB%D1%8C%D0%BD%D1%8B%D1%85%20%D1%84%D0%BE%D1%80%D0%BC%20%D0%BE%D1%82%D1%87%D0%B5%D1%82%D0%BD%D0%BE%D1%81%D1%82%D0%B8%20%D0%B2%20%D0%9F%D1%80%D0%B8%D0%B4%D0%BD%D0%B5%D1%81%D1%82%D1%80%D0%BE%D0%B2%D1%81%D0%BA%D0%B8%D0%B9%20%D1%80%D0%B5%D1%81%D0%BF%D1%83%D0%B1%D0%BB%D0%B8%D0%BA%D0%B0%D0%BD%D1%81%D0%BA%D0%B8%D0%B9%20%D0%B1%D0%B0%D0%BD%D0%BA%C2%BB" TargetMode="External"/><Relationship Id="rId9" Type="http://schemas.openxmlformats.org/officeDocument/2006/relationships/hyperlink" Target="documents/search/doc-link/?q=%D0%BE%D1%82%208%20%D0%B0%D0%BF%D1%80%D0%B5%D0%BB%D1%8F%202009%C2%A0%D0%B3%D0%BE%D0%B4%D0%B0%20%E2%84%96%C2%A0323-%D0%A3" TargetMode="External"/><Relationship Id="rId10" Type="http://schemas.openxmlformats.org/officeDocument/2006/relationships/hyperlink" Target="documents/search/doc-link/?q=%D0%BE%D1%82%2015%20%D0%B8%D1%8E%D0%BB%D1%8F%202009%C2%A0%D0%B3%D0%BE%D0%B4%D0%B0%20%E2%84%96%C2%A0342-%D0%A3" TargetMode="External"/><Relationship Id="rId11" Type="http://schemas.openxmlformats.org/officeDocument/2006/relationships/hyperlink" Target="documents/search/doc-link/?q=%D0%BE%D1%82%2019%20%D1%8F%D0%BD%D0%B2%D0%B0%D1%80%D1%8F%202010%C2%A0%D0%B3%D0%BE%D0%B4%D0%B0%20%E2%84%96%C2%A0371-%D0%A3" TargetMode="External"/><Relationship Id="rId12" Type="http://schemas.openxmlformats.org/officeDocument/2006/relationships/hyperlink" Target="documents/search/doc-link/?q=%D0%BE%D1%82%203%20%D0%BC%D0%B0%D1%80%D1%82%D0%B0%202011%C2%A0%D0%B3%D0%BE%D0%B4%D0%B0%20%E2%84%96%C2%A0442-%D0%A3" TargetMode="External"/><Relationship Id="rId13" Type="http://schemas.openxmlformats.org/officeDocument/2006/relationships/hyperlink" Target="documents/search/doc-link/?q=%D0%BE%D1%82%2013%20%D0%BE%D0%BA%D1%82%D1%8F%D0%B1%D1%80%D1%8F%202011%C2%A0%D0%B3%D0%BE%D0%B4%D0%B0%20%E2%84%96%C2%A0487-%D0%A3" TargetMode="External"/><Relationship Id="rId14" Type="http://schemas.openxmlformats.org/officeDocument/2006/relationships/hyperlink" Target="documents/search/doc-link/?q=%D0%BE%D1%82%2021%20%D1%84%D0%B5%D0%B2%D1%80%D0%B0%D0%BB%D1%8F%202012%C2%A0%D0%B3%D0%BE%D0%B4%D0%B0%20%E2%84%96%C2%A0517-%D0%A3" TargetMode="External"/><Relationship Id="rId15" Type="http://schemas.openxmlformats.org/officeDocument/2006/relationships/hyperlink" Target="documents/search/doc-link/?q=%D0%BE%D1%82%2026%20%D0%BC%D0%B0%D1%80%D1%82%D0%B0%202012%C2%A0%D0%B3%D0%BE%D0%B4%D0%B0%20%E2%84%96%C2%A0529-%D0%A3" TargetMode="External"/><Relationship Id="rId16" Type="http://schemas.openxmlformats.org/officeDocument/2006/relationships/hyperlink" Target="documents/search/doc-link/?q=%D0%BE%D1%82%2024%20%D0%B8%D1%8E%D0%BB%D1%8F%202012%C2%A0%D0%B3%D0%BE%D0%B4%D0%B0%20%E2%84%96%C2%A0575-%D0%A3" TargetMode="External"/><Relationship Id="rId17" Type="http://schemas.openxmlformats.org/officeDocument/2006/relationships/hyperlink" Target="documents/search/doc-link/?q=%D0%BE%D1%82%207%20%D0%B4%D0%B5%D0%BA%D0%B0%D0%B1%D1%80%D1%8F%202012%C2%A0%D0%B3%D0%BE%D0%B4%D0%B0%20%E2%84%96%C2%A0637-%D0%A3" TargetMode="External"/><Relationship Id="rId18" Type="http://schemas.openxmlformats.org/officeDocument/2006/relationships/hyperlink" Target="documents/search/doc-link/?q=%D0%BE%D1%82%2030%20%D1%8F%D0%BD%D0%B2%D0%B0%D1%80%D1%8F%202013%C2%A0%D0%B3%D0%BE%D0%B4%D0%B0%20%E2%84%96%C2%A0657-%D0%A3" TargetMode="External"/><Relationship Id="rId19" Type="http://schemas.openxmlformats.org/officeDocument/2006/relationships/hyperlink" Target="documents/search/doc-link/?q=%D0%BE%D1%82%2023%20%D0%B0%D0%BF%D1%80%D0%B5%D0%BB%D1%8F%202013%C2%A0%D0%B3%D0%BE%D0%B4%D0%B0%20%E2%84%96%C2%A0684-%D0%A3" TargetMode="External"/><Relationship Id="rId20" Type="http://schemas.openxmlformats.org/officeDocument/2006/relationships/hyperlink" Target="documents/search/doc-link/?q=%D0%BE%D1%82%2012%20%D0%BD%D0%BE%D1%8F%D0%B1%D1%80%D1%8F%202013%C2%A0%D0%B3%D0%BE%D0%B4%D0%B0%20%E2%84%96%C2%A0728-%D0%A3" TargetMode="External"/><Relationship Id="rId21" Type="http://schemas.openxmlformats.org/officeDocument/2006/relationships/hyperlink" Target="documents/search/doc-link/?q=%D0%BE%D1%82%2025%20%D0%B4%D0%B5%D0%BA%D0%B0%D0%B1%D1%80%D1%8F%202013%C2%A0%D0%B3%D0%BE%D0%B4%D0%B0%20%E2%84%96%C2%A0751-%D0%A3" TargetMode="External"/><Relationship Id="rId22" Type="http://schemas.openxmlformats.org/officeDocument/2006/relationships/hyperlink" Target="documents/search/doc-link/?q=%D0%BE%D1%82%2019%20%D0%BD%D0%BE%D1%8F%D0%B1%D1%80%D1%8F%202014%C2%A0%D0%B3%D0%BE%D0%B4%D0%B0%20%E2%84%96%C2%A0819-%D0%A3" TargetMode="External"/><Relationship Id="rId23" Type="http://schemas.openxmlformats.org/officeDocument/2006/relationships/hyperlink" Target="documents/search/doc-link/?q=%D0%BE%D1%82%2023%20%D0%BD%D0%BE%D1%8F%D0%B1%D1%80%D1%8F%202015%C2%A0%D0%B3%D0%BE%D0%B4%D0%B0%20%E2%84%96%C2%A0880-%D0%A3" TargetMode="External"/><Relationship Id="rId24" Type="http://schemas.openxmlformats.org/officeDocument/2006/relationships/hyperlink" Target="documents/search/doc-link/?q=%D0%BE%D1%82%2022%20%D1%8F%D0%BD%D0%B2%D0%B0%D1%80%D1%8F%202016%C2%A0%D0%B3%D0%BE%D0%B4%D0%B0%20%E2%84%96%C2%A0890-%D0%A3" TargetMode="External"/><Relationship Id="rId25" Type="http://schemas.openxmlformats.org/officeDocument/2006/relationships/hyperlink" Target="documents/search/doc-link/?q=%D0%BE%D1%82%2011%20%D0%BD%D0%BE%D1%8F%D0%B1%D1%80%D1%8F%202016%C2%A0%D0%B3%D0%BE%D0%B4%D0%B0%20%E2%84%96%C2%A0939-%D0%A3" TargetMode="External"/><Relationship Id="rId26" Type="http://schemas.openxmlformats.org/officeDocument/2006/relationships/hyperlink" Target="documents/search/doc-link/?q=%D0%BE%D1%82%2013%20%D0%BE%D0%BA%D1%82%D1%8F%D0%B1%D1%80%D1%8F%202017%C2%A0%D0%B3%D0%BE%D0%B4%D0%B0%20%E2%84%96%C2%A01018-%D0%A3" TargetMode="External"/><Relationship Id="rId27" Type="http://schemas.openxmlformats.org/officeDocument/2006/relationships/hyperlink" Target="documents/search/doc-link/?q=%D0%BE%D1%82%2023%20%D0%B0%D0%BF%D1%80%D0%B5%D0%BB%D1%8F%202018%C2%A0%D0%B3%D0%BE%D0%B4%D0%B0%20%E2%84%96%C2%A01066-%D0%A3" TargetMode="External"/><Relationship Id="rId28" Type="http://schemas.openxmlformats.org/officeDocument/2006/relationships/hyperlink" Target="documents/search/doc-link/?q=%D0%BE%D1%82%2010%20%D0%BC%D0%B0%D1%8F%202018%C2%A0%D0%B3%D0%BE%D0%B4%D0%B0%20%E2%84%96%C2%A01068-%D0%A3" TargetMode="External"/><Relationship Id="rId29" Type="http://schemas.openxmlformats.org/officeDocument/2006/relationships/hyperlink" Target="documents/search/doc-link/?q=%D0%BE%D1%82%2023%20%D0%BC%D0%B0%D1%8F%202018%C2%A0%D0%B3%D0%BE%D0%B4%D0%B0%20%E2%84%96%C2%A01073-%D0%A3" TargetMode="External"/><Relationship Id="rId30" Type="http://schemas.openxmlformats.org/officeDocument/2006/relationships/hyperlink" Target="documents/search/doc-link/?q=%D0%BE%D1%82%2015%20%D0%BD%D0%BE%D1%8F%D0%B1%D1%80%D1%8F%202018%C2%A0%D0%B3%D0%BE%D0%B4%D0%B0%20%E2%84%96%C2%A01122-%D0%A3" TargetMode="External"/><Relationship Id="rId31" Type="http://schemas.openxmlformats.org/officeDocument/2006/relationships/hyperlink" Target="documents/search/doc-link/?q=%D0%BE%D1%82%207%20%D0%B4%D0%B5%D0%BA%D0%B0%D0%B1%D1%80%D1%8F%202018%C2%A0%D0%B3%D0%BE%D0%B4%D0%B0%20%E2%84%96%C2%A01128-%D0%A3" TargetMode="External"/><Relationship Id="rId32" Type="http://schemas.openxmlformats.org/officeDocument/2006/relationships/hyperlink" Target="documents/search/doc-link/?q=%D0%BE%D1%82%2014%20%D0%BC%D0%B0%D1%8F%202019%C2%A0%D0%B3%D0%BE%D0%B4%D0%B0%20%E2%84%96%C2%A01157-%D0%A3" TargetMode="External"/><Relationship Id="rId33" Type="http://schemas.openxmlformats.org/officeDocument/2006/relationships/hyperlink" Target="documents/search/doc-link/?q=%D0%BE%D1%82%2015%20%D0%BE%D0%BA%D1%82%D1%8F%D0%B1%D1%80%D1%8F%202019%C2%A0%D0%B3%D0%BE%D0%B4%D0%B0%20%E2%84%96%C2%A01195-%D0%A3" TargetMode="External"/><Relationship Id="rId34" Type="http://schemas.openxmlformats.org/officeDocument/2006/relationships/hyperlink" Target="documents/search/doc-link/?q=%D0%BE%D1%82%2028%20%D0%BD%D0%BE%D1%8F%D0%B1%D1%80%D1%8F%202019%C2%A0%D0%B3%D0%BE%D0%B4%D0%B0%20%E2%84%96%C2%A01212-%D0%A3" TargetMode="External"/><Relationship Id="rId35" Type="http://schemas.openxmlformats.org/officeDocument/2006/relationships/hyperlink" Target="documents/search/doc-link/?q=%D0%BE%D1%82%2031%20%D0%BC%D0%B0%D1%80%D1%82%D0%B0%202020%C2%A0%D0%B3%D0%BE%D0%B4%D0%B0%20%E2%84%96%C2%A01254-%D0%A3" TargetMode="External"/><Relationship Id="rId36" Type="http://schemas.openxmlformats.org/officeDocument/2006/relationships/hyperlink" Target="documents/search/doc-link/?q=%D0%BE%D1%82%205%20%D0%BC%D0%B0%D1%8F%202020%C2%A0%D0%B3%D0%BE%D0%B4%D0%B0%20%E2%84%96%C2%A01259-%D0%A3" TargetMode="External"/><Relationship Id="rId37" Type="http://schemas.openxmlformats.org/officeDocument/2006/relationships/hyperlink" Target="documents/search/doc-link/?q=%D0%BE%D1%82%2022%20%D0%BE%D0%BA%D1%82%D1%8F%D0%B1%D1%80%D1%8F%202020%C2%A0%D0%B3%D0%BE%D0%B4%D0%B0%20%E2%84%96%C2%A01298-%D0%A3" TargetMode="External"/><Relationship Id="rId38" Type="http://schemas.openxmlformats.org/officeDocument/2006/relationships/hyperlink" Target="documents/search/doc-link/?q=%D0%BE%D1%82%2017%20%D0%B8%D1%8E%D0%BD%D1%8F%202021%C2%A0%D0%B3%D0%BE%D0%B4%D0%B0%20%E2%84%96%C2%A01353-%D0%A3" TargetMode="External"/><Relationship Id="rId39" Type="http://schemas.openxmlformats.org/officeDocument/2006/relationships/hyperlink" Target="documents/search/doc-link/?q=%D0%BE%D1%82%2014%20%D0%B8%D1%8E%D0%BB%D1%8F%202022%C2%A0%D0%B3%D0%BE%D0%B4%D0%B0%20%E2%84%96%C2%A01424-%D0%A3" TargetMode="External"/><Relationship Id="rId40" Type="http://schemas.openxmlformats.org/officeDocument/2006/relationships/hyperlink" Target="documents/search/doc-link/?q=%D0%BE%D1%82%2029%20%D0%B4%D0%B5%D0%BA%D0%B0%D0%B1%D1%80%D1%8F%202022%C2%A0%D0%B3%D0%BE%D0%B4%D0%B0%20%E2%84%96%C2%A01453-%D0%A3" TargetMode="External"/><Relationship Id="rId41" Type="http://schemas.openxmlformats.org/officeDocument/2006/relationships/hyperlink" Target="documents/search/doc-link/?q=%D0%BE%D1%82%2022%20%D1%81%D0%B5%D0%BD%D1%82%D1%8F%D0%B1%D1%80%D1%8F%202023%C2%A0%D0%B3%D0%BE%D0%B4%D0%B0%20%E2%84%96%C2%A01500-%D0%A3" TargetMode="External"/><Relationship Id="rId42" Type="http://schemas.openxmlformats.org/officeDocument/2006/relationships/hyperlink" Target="documents/search/doc-link/?q=%D0%BE%D1%82%2022%20%D0%B4%D0%B5%D0%BA%D0%B0%D0%B1%D1%80%D1%8F%202023%C2%A0%D0%B3%D0%BE%D0%B4%D0%B0%20%E2%84%96%C2%A01525-%D0%A3" TargetMode="External"/><Relationship Id="rId43" Type="http://schemas.openxmlformats.org/officeDocument/2006/relationships/hyperlink" Target="documents/search/doc-link/?q=%D0%BE%D1%82%2029%20%D0%BE%D0%BA%D1%82%D1%8F%D0%B1%D1%80%D1%8F%202024%C2%A0%D0%B3%D0%BE%D0%B4%D0%B0%20%E2%84%96%C2%A01574-%D0%A3" TargetMode="External"/><Relationship Id="rId44" Type="http://schemas.openxmlformats.org/officeDocument/2006/relationships/hyperlink" Target="documents/search/doc-link/?q=%D0%BE%D1%82%202%20%D0%B8%D1%8E%D0%BB%D1%8F%202008%C2%A0%D0%B3%D0%BE%D0%B4%D0%B0%20%E2%84%96%C2%A025-%D0%9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2788</Words>
  <Characters>17203</Characters>
  <CharactersWithSpaces>19811</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