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3101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 5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отчета об исполнении государственной целевой программы «Сохранение недвижимых объектов культурного наследия Приднестровской Молдавской Республики, требующих неотложного ремонта» на 2019–2024 годы 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об исполнении государственной целевой программы «Сохранение недвижимых объектов культурного наследия Приднестровской Молдавской Республики, требующих неотложного ремонта»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на 2019–2024 годы» за 2023 год, представленный к рассмотрению Правительством Приднестровской Молдавской Республики (письмо Председателя Правительства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01-52/44</w:t>
        </w:r>
      </w:hyperlink>
      <w:r>
        <w:rPr>
          <w:rFonts w:ascii="times new roman;times" w:hAnsi="times new roman;times"/>
          <w:sz w:val="24"/>
        </w:rPr>
        <w:t xml:space="preserve">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Государственная целевая программа «Сохранение недвижимых объектов культурного наследия Приднестровской Молдавской Республики, требующих неотложного ремонта» на 2019 – 2024 годы утверждена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2019 года № 165-З-VI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«Сохранение недвижимых объектов культурного наследия Приднестровской Молдавской Республики, требующих неотложного ремонта»на 2019–2024 годы»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(САЗ 19-29) в действующей редакции  (далее по тексту – Программа) и направлена на сохранение недвижимых объектов культурного наследия Приднестровской Молдавской Республики, увековечивающих память о погибших в Великой Отечественной войне, и отдельных зданий, связанных с жизнью и деятельностью выдающихся государственных и военных деятелей, создание условий для эффективного использования и доступа граждан к культурным ценностям.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реализацию мероприятий, запланированных Программой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2023 году,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389-З-VII «О республиканском бюджете на 2023 год» (САЗ 23-1)</w:t>
        </w:r>
      </w:hyperlink>
      <w:r>
        <w:rPr>
          <w:rFonts w:ascii="times new roman;times" w:hAnsi="times new roman;times"/>
          <w:sz w:val="24"/>
        </w:rPr>
        <w:t xml:space="preserve"> было предусмотрено 2 088 785 рублей, что составило 100 процентов от запланированных Программой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этом в соответствии с информацией, представленной в отчете об исполнении Программы, из запланированных в 2023 году 10 (десяти) объектов ремонтно-восстановительные работы проводились на 9 (девяти) объектах: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государственной администрации г. Бендеры на 2 объектах: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реконструкция Мемориала революционной, боевой и трудовой славы железнодорожников (в честь 60-летия Великой Октябрьской Социалистической Революции), работы запланированы в объеме </w:t>
      </w:r>
      <w:r>
        <w:rPr/>
        <w:br/>
      </w:r>
      <w:r>
        <w:rPr>
          <w:rFonts w:ascii="times new roman;times" w:hAnsi="times new roman;times"/>
          <w:sz w:val="24"/>
        </w:rPr>
        <w:t>495 563 рубля и выполнены на сумму 494 627 рублей (фактическое использование финансирования – 99,8 процента);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восстановление конструкций крыши и кровли здания бывшей дачи врача Флеммера, в котором в 1919 году состоялась 2-я Бендерская подпольная партийная конференция, принявшая решение о проведении Бендерского вооруженного восстания, работы запланированы в объеме 812 000 рублей и выполнены на сумму 802 817 рублей (фактическое использование финансирования – 98,9 процента);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 государственной администрации Дубоссарского района и </w:t>
      </w:r>
      <w:r>
        <w:rPr/>
        <w:br/>
      </w:r>
      <w:r>
        <w:rPr>
          <w:rFonts w:ascii="times new roman;times" w:hAnsi="times new roman;times"/>
          <w:sz w:val="24"/>
        </w:rPr>
        <w:t>г. Дубоссары на 5 объектах: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капитальный ремонт, благоустройство, установка мемориальных плит, освещение, устройство ограждения на объекте «Памятник советским воинам и односельчанам, погибшим в годы Великой Отечественной войны </w:t>
      </w:r>
      <w:r>
        <w:rPr/>
        <w:br/>
      </w:r>
      <w:r>
        <w:rPr>
          <w:rFonts w:ascii="times new roman;times" w:hAnsi="times new roman;times"/>
          <w:sz w:val="24"/>
        </w:rPr>
        <w:t>1941–1945 годов» в с. Цыбулевка, работы запланированы и профинансированы на сумму 85 000 рублей (фактическое использование финансирования – 100 процентов);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капитальный ремонт скульптурной композиции, замена тротуарной плитки в отдельных местах на объекте «Памятник советским воинам и односельчанам, погибшим в годы Великой Отечественной войны </w:t>
      </w:r>
      <w:r>
        <w:rPr/>
        <w:br/>
      </w:r>
      <w:r>
        <w:rPr>
          <w:rFonts w:ascii="times new roman;times" w:hAnsi="times new roman;times"/>
          <w:sz w:val="24"/>
        </w:rPr>
        <w:t xml:space="preserve">1941–1945 годов» в с. Койково, работы запланированы и профинансированы на сумму 85 000 рублей (фактическое использование финансирования – </w:t>
      </w:r>
      <w:r>
        <w:rPr/>
        <w:br/>
      </w:r>
      <w:r>
        <w:rPr>
          <w:rFonts w:ascii="times new roman;times" w:hAnsi="times new roman;times"/>
          <w:sz w:val="24"/>
        </w:rPr>
        <w:t>100 процентов);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капитальный ремонт скульптурной композиции, замена тротуарной плитки в отдельных местах на объекте «Памятник на братской могиле советских воинов, погибших в годы Великой Отечественной войны </w:t>
      </w:r>
      <w:r>
        <w:rPr/>
        <w:br/>
      </w:r>
      <w:r>
        <w:rPr>
          <w:rFonts w:ascii="times new roman;times" w:hAnsi="times new roman;times"/>
          <w:sz w:val="24"/>
        </w:rPr>
        <w:t xml:space="preserve">1941–1945 годов» в с. Дубово, работы запланированы и профинансированы на сумму 95 000 рублей (фактическое использование финансирования – </w:t>
      </w:r>
      <w:r>
        <w:rPr/>
        <w:br/>
      </w:r>
      <w:r>
        <w:rPr>
          <w:rFonts w:ascii="times new roman;times" w:hAnsi="times new roman;times"/>
          <w:sz w:val="24"/>
        </w:rPr>
        <w:t>100 процентов);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4) капитальный ремонт скульптурной композиции на объекте «Памятник советским воинам, погибшим в годы Великой Отечественной войны 1941–1945 годов» в с. Красный Виноградарь, работы запланированы на сумму </w:t>
      </w:r>
      <w:r>
        <w:rPr/>
        <w:br/>
      </w:r>
      <w:r>
        <w:rPr>
          <w:rFonts w:ascii="times new roman;times" w:hAnsi="times new roman;times"/>
          <w:sz w:val="24"/>
        </w:rPr>
        <w:t>118 676 рублей и профинансированы на сумму 118 000 рублей (фактическое использование финансирования – 99,4 процента);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проектные работы по объекту «Мемориал жертвам фашизма», расположенному в г. Дубоссары, работы запланированы и выполнены на сумму 25 459 рублей (фактическое использование финансирования – 100 процентов);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государственной администрации Рыбницкого района и г. Рыбницы на 1 объекте: мероприятия по проектированию и производству работ по благоустройству туристского маршрута к объекту «Башня ветров» (памятник фельдмаршалу П. Х. Витгенштейну) с. Строенцы, запланированы работы на сумму 301 387 рублей, из них использованы 22 500 рублей на проектирование работ по благоустройству туристического маршрута к объекту (фактическое использование финансирования – 7,5 процента). Проектные работы были завершены и представлены в адрес государственной администрации Рыбницкого района и г. Рыбницы в октябре 2023 года. В связи с неблагоприятными погодными условиями выполнить работы по обустройству туристического маршрута к объекту «Башня ветров» (памятник фельдмаршалу П. Х. Витгенштейну) в 2023 году не представлялось возможным;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по государственной администрации Каменского района и г. Каменки на 1 объекте: ремонтные работы на объекте «Дом-музей Героя Советского Союза </w:t>
      </w:r>
      <w:r>
        <w:rPr/>
        <w:br/>
      </w:r>
      <w:r>
        <w:rPr>
          <w:rFonts w:ascii="times new roman;times" w:hAnsi="times new roman;times"/>
          <w:sz w:val="24"/>
        </w:rPr>
        <w:t xml:space="preserve">Ф. И. Жарчинского» в с. Рашков, работы запланированы на сумму </w:t>
      </w:r>
      <w:r>
        <w:rPr/>
        <w:br/>
      </w:r>
      <w:r>
        <w:rPr>
          <w:rFonts w:ascii="times new roman;times" w:hAnsi="times new roman;times"/>
          <w:sz w:val="24"/>
        </w:rPr>
        <w:t>30 700 рублей и выполнены на сумму 29 412 рублей (фактическое использование финансирования – 95,8 процента);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д)по государственной администрации г. Тирасполя и г. Днестровска: мероприятия по благоустройству Памятника жертвам фашизма в годы Великой Отечественной войны 1941–1945 годов не проводились, при этом для проведения работ была запланирована сумма в объеме 40 000 рублей, вместе с тем, ввиду недостаточных средств для выполнения комплекса работ, сумма не была использована.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Общий объем бюджетных ассигнований, выделенных из республиканского бюджета на реализацию Программы в 2023 году, составил 1 757 815 рублей, что составляет 84,2 процента от запланированных республиканским бюджетом в сумме 2 088 785 рублей средств. Следует отметить, что финансирование данной программы осуществлено на основании обращений главных распорядителей данных средств – государственных администраций городов (районов)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основании вышеизложенного, в соответствии с частью четвертой главы 7 Приложения к Программе, руководствуясь пунктом 4статьи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Утвердить отчет об исполнении государственной целевой программы «Сохранение недвижимых объектов культурного наследия Приднестровской Молдавской Республики, требующих неотложного ремонта» </w:t>
      </w:r>
      <w:r>
        <w:rPr/>
        <w:br/>
      </w:r>
      <w:r>
        <w:rPr>
          <w:rFonts w:ascii="times new roman;times" w:hAnsi="times new roman;times"/>
          <w:sz w:val="24"/>
        </w:rPr>
        <w:t>на 2019–2024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«10»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3101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2001-52/44" TargetMode="External"/><Relationship Id="rId6" Type="http://schemas.openxmlformats.org/officeDocument/2006/relationships/hyperlink" Target="documents/search/doc-link/?q=%D0%BE%D1%82%201%20%D0%B0%D0%B2%D0%B3%D1%83%D1%81%D1%82%D0%B0%202019%20%D0%B3%D0%BE%D0%B4%D0%B0%20%E2%84%96%20165-%D0%97-VI" TargetMode="External"/><Relationship Id="rId7" Type="http://schemas.openxmlformats.org/officeDocument/2006/relationships/hyperlink" Target="documents/search/doc-link/?q=%D0%BE%D1%82%2028%20%D0%B4%D0%B5%D0%BA%D0%B0%D0%B1%D1%80%D1%8F%202022%20%D0%B3%D0%BE%D0%B4%D0%B0%20%E2%84%96%20389-%D0%97-VII%20%C2%AB%D0%9E%20%D1%80%D0%B5%D1%81%D0%BF%D1%83%D0%B1%D0%BB%D0%B8%D0%BA%D0%B0%D0%BD%D1%81%D0%BA%D0%BE%D0%BC%20%D0%B1%D1%8E%D0%B4%D0%B6%D0%B5%D1%82%D0%B5%20%D0%BD%D0%B0%202023%20%D0%B3%D0%BE%D0%B4%C2%BB%20%28%D0%A1%D0%90%D0%97%2023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924</Words>
  <Characters>6493</Characters>
  <CharactersWithSpaces>7466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