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декабря 2017 года № 333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лицензирования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качестве таможенного перевозчика»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2017 года № 333 «Об утверждении Положения 
о порядке лицензирования деятельности в качестве таможенного перевозчика» (САЗ 17-50)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
2018 года № 280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2019 года № 392 (САЗ 19-42)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2021 года № 190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2022 года № 128 
(САЗ 22-14)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пятой пункта 14 Приложения к Постановлению словесно-цифровое обозначение «10 (десяти)» заменить словесно-цифровым обозначением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«31. В случаях, установленных частью первой пункта 1 статьи 11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лицензиат – таможенный перевозчик или его правопреемник обязан в течение 30 (тридцати) рабочих дней подать заявление о переоформлении лицензии в Государственный таможенный комитет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приложением соответствующих документов, подтверждающих указанные сведения.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 принятия решения о переоформлении лицензии юридическое лицо или его правопреемник, в случае преобразования юридического лица, вправе осуществлять деятельность на основании ранее выданной лицензии, но не более 30 (тридцати) дней со дня его регистрации, а в случае утраты лицензии – на основании выданной Государственным таможенным комитетом Приднестровской Молдавской Республики справки о приеме документов на переоформление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2 Примечания Приложения № 1 к Постановлению словесно-цифровое обозначение «10 (десяти) дней» заменить словесно-цифровым обозначением «30 (тридцати) рабочих дней»;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в пункте 2 Примечания Приложения № 2 к Приложению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словесно-цифровое обозначение «10 дней» заменить словесно-цифровым обозначением «30 (тридцати) рабочих дней».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4%D0%B5%D0%BA%D0%B0%D0%B1%D1%80%D1%8F%202017%20%D0%B3%D0%BE%D0%B4%D0%B0%20%E2%84%96%2033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%20%D0%B4%D0%B5%D0%BA%D0%B0%D0%B1%D1%80%D1%8F%202017%20%D0%B3%D0%BE%D0%B4%D0%B0%20%E2%84%96%20333%20%C2%AB%D0%9E%D0%B1%20%D1%83%D1%82%D0%B2%D0%B5%D1%80%D0%B6%D0%B4%D0%B5%D0%BD%D0%B8%D0%B8%20%D0%9F%D0%BE%D0%BB%D0%BE%D0%B6%D0%B5%D0%BD%D0%B8%D1%8F%20%0A%D0%BE%20%D0%BF%D0%BE%D1%80%D1%8F%D0%B4%D0%BA%D0%B5%20%D0%BB%D0%B8%D1%86%D0%B5%D0%BD%D0%B7%D0%B8%D1%80%D0%BE%D0%B2%D0%B0%D0%BD%D0%B8%D1%8F%20%D0%B4%D0%B5%D1%8F%D1%82%D0%B5%D0%BB%D1%8C%D0%BD%D0%BE%D1%81%D1%82%D0%B8%20%D0%B2%20%D0%BA%D0%B0%D1%87%D0%B5%D1%81%D1%82%D0%B2%D0%B5%20%D1%82%D0%B0%D0%BC%D0%BE%D0%B6%D0%B5%D0%BD%D0%BD%D0%BE%D0%B3%D0%BE%20%D0%BF%D0%B5%D1%80%D0%B5%D0%B2%D0%BE%D0%B7%D1%87%D0%B8%D0%BA%D0%B0%C2%BB%20%28%D0%A1%D0%90%D0%97%2017-50%29" TargetMode="External"/><Relationship Id="rId9" Type="http://schemas.openxmlformats.org/officeDocument/2006/relationships/hyperlink" Target="documents/search/doc-link/?q=%D0%BE%D1%82%209%20%D0%B0%D0%B2%D0%B3%D1%83%D1%81%D1%82%D0%B0%20%0A2018%20%D0%B3%D0%BE%D0%B4%D0%B0%20%E2%84%96%20280%20%28%D0%A1%D0%90%D0%97%2018-32%29" TargetMode="External"/><Relationship Id="rId10" Type="http://schemas.openxmlformats.org/officeDocument/2006/relationships/hyperlink" Target="documents/search/doc-link/?q=%D0%BE%D1%82%2029%20%D0%BE%D0%BA%D1%82%D1%8F%D0%B1%D1%80%D1%8F%202019%20%D0%B3%D0%BE%D0%B4%D0%B0%20%E2%84%96%20392%20%28%D0%A1%D0%90%D0%97%2019-42%29" TargetMode="External"/><Relationship Id="rId11" Type="http://schemas.openxmlformats.org/officeDocument/2006/relationships/hyperlink" Target="documents/search/doc-link/?q=%D0%BE%D1%82%208%20%D0%B8%D1%8E%D0%BD%D1%8F%202021%20%D0%B3%D0%BE%D0%B4%D0%B0%20%E2%84%96%20190%20%28%D0%A1%D0%90%D0%97%2021-23%29" TargetMode="External"/><Relationship Id="rId12" Type="http://schemas.openxmlformats.org/officeDocument/2006/relationships/hyperlink" Target="documents/search/doc-link/?q=%D0%BE%D1%82%2012%20%D0%B0%D0%BF%D1%80%D0%B5%D0%BB%D1%8F%202022%20%D0%B3%D0%BE%D0%B4%D0%B0%20%E2%84%96%20128%20%0A%28%D0%A1%D0%90%D0%97%2022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380</Words>
  <Characters>2557</Characters>
  <CharactersWithSpaces>2988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