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ПОСТАНОВЛЕНИЕ № 3242</w:t>
      </w:r>
    </w:p>
    <w:p>
      <w:pPr>
        <w:pStyle w:val="BodyTextoutside-table"/>
        <w:bidi w:val="0"/>
        <w:spacing w:before="0" w:after="283"/>
        <w:ind w:firstLine="709" w:left="0" w:right="0"/>
        <w:jc w:val="center"/>
        <w:rPr/>
      </w:pPr>
      <w:r>
        <w:rPr>
          <w:rStyle w:val="Emphasis"/>
        </w:rPr>
        <w:t> </w:t>
      </w:r>
      <w:r>
        <w:rPr>
          <w:rStyle w:val="Emphasis"/>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3 июля 2024 года</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отчета об исполнении государственной целевой программы «Льготное кредитование</w:t>
      </w:r>
    </w:p>
    <w:p>
      <w:pPr>
        <w:pStyle w:val="BodyTextoutside-table"/>
        <w:bidi w:val="0"/>
        <w:spacing w:before="0" w:after="283"/>
        <w:ind w:firstLine="709" w:left="0" w:right="0"/>
        <w:jc w:val="center"/>
        <w:rPr/>
      </w:pPr>
      <w:r>
        <w:rPr>
          <w:rStyle w:val="Strong"/>
          <w:rFonts w:ascii="times new roman;times" w:hAnsi="times new roman;times"/>
          <w:sz w:val="24"/>
        </w:rPr>
        <w:t>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2021–2026 годов за 2023 год</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Fonts w:ascii="times new roman;times" w:hAnsi="times new roman;times"/>
          <w:sz w:val="24"/>
        </w:rPr>
        <w:t xml:space="preserve">Рассмотрев отчет о ходе реализации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w:t>
      </w:r>
      <w:r>
        <w:rPr/>
        <w:t xml:space="preserve">
</w:t>
      </w:r>
      <w:r>
        <w:rPr>
          <w:rFonts w:ascii="times new roman;times" w:hAnsi="times new roman;times"/>
          <w:sz w:val="24"/>
        </w:rPr>
        <w:t xml:space="preserve">не участвовавших в программе льготного кредитования» на период </w:t>
      </w:r>
      <w:r>
        <w:rPr/>
        <w:t xml:space="preserve">
</w:t>
      </w:r>
      <w:r>
        <w:rPr>
          <w:rFonts w:ascii="times new roman;times" w:hAnsi="times new roman;times"/>
          <w:sz w:val="24"/>
        </w:rPr>
        <w:t xml:space="preserve">2021–2026 годов за 2023 год, представленный к рассмотрению Правительством Приднестровской Молдавской Республики (письмо Правительства </w:t>
      </w:r>
      <w:hyperlink r:id="rId5">
        <w:r>
          <w:rPr>
            <w:rFonts w:ascii="times new roman;times" w:hAnsi="times new roman;times"/>
            <w:sz w:val="24"/>
            <w:color w:val="0563C1"/>
            <w:u w:val="single"/>
          </w:rPr>
          <w:t xml:space="preserve">от 15 марта 2024 года № 01-52/44</w:t>
        </w:r>
      </w:hyperlink>
      <w:r>
        <w:rPr>
          <w:rFonts w:ascii="times new roman;times" w:hAnsi="times new roman;times"/>
          <w:sz w:val="24"/>
        </w:rPr>
        <w:t xml:space="preserve">) в соответствии с пунктом 5 статьи 16-1 Закона Приднестровской Молдавской Республики «О бюджетной системе в Приднестровской Молдавской Республике», Верховный Совет Приднестровской Молдавской Республики отмечает следующее.</w:t>
      </w:r>
    </w:p>
    <w:p>
      <w:pPr>
        <w:pStyle w:val="BodyTextoutside-table"/>
        <w:bidi w:val="0"/>
        <w:spacing w:before="0" w:after="283"/>
        <w:ind w:firstLine="709" w:left="0" w:right="0"/>
        <w:jc w:val="left"/>
        <w:rPr/>
      </w:pPr>
      <w:r>
        <w:rPr>
          <w:rFonts w:ascii="times new roman;times" w:hAnsi="times new roman;times"/>
          <w:sz w:val="24"/>
        </w:rPr>
        <w:t xml:space="preserve">Государственная целевая программа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w:t>
      </w:r>
      <w:r>
        <w:rPr/>
        <w:t xml:space="preserve">
</w:t>
      </w:r>
      <w:r>
        <w:rPr>
          <w:rFonts w:ascii="times new roman;times" w:hAnsi="times new roman;times"/>
          <w:sz w:val="24"/>
        </w:rPr>
        <w:t xml:space="preserve">на период 2021–2026 годов (далее по тексту – Программа) утверждена Законом Приднестровской Молдавской Республики </w:t>
      </w:r>
      <w:hyperlink r:id="rId6">
        <w:r>
          <w:rPr>
            <w:rFonts w:ascii="times new roman;times" w:hAnsi="times new roman;times"/>
            <w:sz w:val="24"/>
            <w:color w:val="0563C1"/>
            <w:u w:val="single"/>
          </w:rPr>
          <w:t xml:space="preserve">от 13 июля 2021 года 
№ 152-З-VII</w:t>
        </w:r>
      </w:hyperlink>
      <w:r>
        <w:rPr>
          <w:rFonts w:ascii="times new roman;times" w:hAnsi="times new roman;times"/>
          <w:sz w:val="24"/>
        </w:rPr>
        <w:t xml:space="preserve"> «Об утверждении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w:t>
      </w:r>
      <w:r>
        <w:rPr/>
        <w:t xml:space="preserve">
</w:t>
      </w:r>
      <w:r>
        <w:rPr>
          <w:rFonts w:ascii="times new roman;times" w:hAnsi="times new roman;times"/>
          <w:sz w:val="24"/>
        </w:rPr>
        <w:t xml:space="preserve">в период с апреля 1978 года по 15 февраля 1989 года, ставших инвалидами </w:t>
      </w:r>
      <w:r>
        <w:rPr/>
        <w:t xml:space="preserve">
</w:t>
      </w:r>
      <w:r>
        <w:rPr>
          <w:rFonts w:ascii="times new roman;times" w:hAnsi="times new roman;times"/>
          <w:sz w:val="24"/>
        </w:rPr>
        <w:t xml:space="preserve">I или II группы общего заболевания, трудового увечья, профессионального заболевания, заболевания, полученного в период военной службы, инвалидами I или II группы по зрению» на период 2021–2026 годов </w:t>
      </w:r>
      <w:r>
        <w:rPr/>
        <w:t xml:space="preserve">
</w:t>
      </w:r>
      <w:r>
        <w:rPr>
          <w:rFonts w:ascii="times new roman;times" w:hAnsi="times new roman;times"/>
          <w:sz w:val="24"/>
        </w:rPr>
        <w:t xml:space="preserve">(САЗ 21-28) в 2021 году с целью повышения доступа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ставших инвалидами I или II группы общего заболевания, трудового увечья, профессионального заболевания, заболевания, полученного в период военной службы, инвалидами I или II группы по зрению, к финансовым ресурсам.</w:t>
      </w:r>
    </w:p>
    <w:p>
      <w:pPr>
        <w:pStyle w:val="BodyTextoutside-table"/>
        <w:bidi w:val="0"/>
        <w:spacing w:before="0" w:after="283"/>
        <w:ind w:firstLine="709" w:left="0" w:right="0"/>
        <w:jc w:val="left"/>
        <w:rPr/>
      </w:pPr>
      <w:r>
        <w:rPr>
          <w:rFonts w:ascii="times new roman;times" w:hAnsi="times new roman;times"/>
          <w:sz w:val="24"/>
        </w:rPr>
        <w:t xml:space="preserve">Сумма, предусмотренная Законом Приднестровской Молдавской Республики «Об утверждении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w:t>
      </w:r>
      <w:r>
        <w:rPr/>
        <w:br/>
      </w:r>
      <w:r>
        <w:rPr>
          <w:rFonts w:ascii="times new roman;times" w:hAnsi="times new roman;times"/>
          <w:sz w:val="24"/>
        </w:rPr>
        <w:t xml:space="preserve">в период с апреля 1978 года по 15 февраля 1989 года, ранее не участвовавших </w:t>
      </w:r>
      <w:r>
        <w:rPr/>
        <w:br/>
      </w:r>
      <w:r>
        <w:rPr>
          <w:rFonts w:ascii="times new roman;times" w:hAnsi="times new roman;times"/>
          <w:sz w:val="24"/>
        </w:rPr>
        <w:t xml:space="preserve">в программе льготного кредитования» на период 2021–2026 годов», предоставляла возможность ежегодно гражданам в количестве </w:t>
      </w:r>
      <w:r>
        <w:rPr/>
        <w:br/>
      </w:r>
      <w:r>
        <w:rPr>
          <w:rFonts w:ascii="times new roman;times" w:hAnsi="times new roman;times"/>
          <w:sz w:val="24"/>
        </w:rPr>
        <w:t xml:space="preserve">от 48 до 80 человек в год обращаться за кредитом на льготных условиях, </w:t>
      </w:r>
      <w:r>
        <w:rPr/>
        <w:br/>
      </w:r>
      <w:r>
        <w:rPr>
          <w:rFonts w:ascii="times new roman;times" w:hAnsi="times new roman;times"/>
          <w:sz w:val="24"/>
        </w:rPr>
        <w:t>а именно в течение 2021, 2022, 2023 годов принимать участие в государственной целевой программе по льготному кредитованию.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за льготным кредитом обратилось 28 потенциальных заемщиков, при этом сумма заявленных кредитов составила 645 000 рублей.</w:t>
      </w:r>
    </w:p>
    <w:p>
      <w:pPr>
        <w:pStyle w:val="BodyTextoutside-table"/>
        <w:bidi w:val="0"/>
        <w:spacing w:before="0" w:after="283"/>
        <w:ind w:firstLine="709" w:left="0" w:right="0"/>
        <w:jc w:val="left"/>
        <w:rPr/>
      </w:pPr>
      <w:r>
        <w:rPr>
          <w:rFonts w:ascii="times new roman;times" w:hAnsi="times new roman;times"/>
          <w:sz w:val="24"/>
        </w:rPr>
        <w:t xml:space="preserve">Закрытым акционерным обществом «Приднестровский Сберегательный банк» (далее – ЗАО «Сберегательный банк»), исходя из платежеспособности потенциальных заемщиков, одобрено 26 заявок на общую сумму кредитования 529 550 рублей. Две заявки на сумму 25 000 рублей каждая на предоставление потребительского кредита гражданам Приднестровской Молдавской Республики, являющимся участниками боевых действий по защите Приднестровской Молдавской Республики, поступившие от общественной организации «Союз защитников Приднестровья» г. Тирасполя, отклонены ЗАО «Сберегательный банк» (уведомление </w:t>
      </w:r>
      <w:hyperlink r:id="rId7">
        <w:r>
          <w:rPr>
            <w:rFonts w:ascii="times new roman;times" w:hAnsi="times new roman;times"/>
            <w:sz w:val="24"/>
            <w:color w:val="0563C1"/>
            <w:u w:val="single"/>
          </w:rPr>
          <w:t xml:space="preserve">от 11 ноября 2023 года 
№ 01-05/4581</w:t>
        </w:r>
      </w:hyperlink>
      <w:r>
        <w:rPr>
          <w:rFonts w:ascii="times new roman;times" w:hAnsi="times new roman;times"/>
          <w:sz w:val="24"/>
        </w:rPr>
        <w:t xml:space="preserve"> и уведомление </w:t>
      </w:r>
      <w:hyperlink r:id="rId8">
        <w:r>
          <w:rPr>
            <w:rFonts w:ascii="times new roman;times" w:hAnsi="times new roman;times"/>
            <w:sz w:val="24"/>
            <w:color w:val="0563C1"/>
            <w:u w:val="single"/>
          </w:rPr>
          <w:t xml:space="preserve">от 29 декабря 2023 года № 01-05/5204</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течение 2023 года в рамках Программы 26 граждан получили льготный потребительский кредит, в состав которых вошли:</w:t>
      </w:r>
    </w:p>
    <w:p>
      <w:pPr>
        <w:pStyle w:val="BodyTextoutside-table"/>
        <w:bidi w:val="0"/>
        <w:spacing w:before="0" w:after="283"/>
        <w:ind w:firstLine="709" w:left="0" w:right="0"/>
        <w:jc w:val="left"/>
        <w:rPr/>
      </w:pPr>
      <w:r>
        <w:rPr/>
        <w:t xml:space="preserve">– </w:t>
      </w:r>
      <w:r>
        <w:rPr>
          <w:rFonts w:ascii="times new roman;times" w:hAnsi="times new roman;times"/>
          <w:sz w:val="24"/>
        </w:rPr>
        <w:t>22 участника боевых действий по защите Приднестровской Молдавской Республики;</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4 участника боевых действий в Афганистане в период с апреля </w:t>
      </w:r>
      <w:r>
        <w:rPr/>
        <w:br/>
      </w:r>
      <w:r>
        <w:rPr>
          <w:rFonts w:ascii="times new roman;times" w:hAnsi="times new roman;times"/>
          <w:sz w:val="24"/>
        </w:rPr>
        <w:t>1978 года по 15 февраля 1989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2 гражданина обратились без ходатайства, а ходатайства о предоставлении кредитов 24 гражданам были представлены:</w:t>
      </w:r>
    </w:p>
    <w:p>
      <w:pPr>
        <w:pStyle w:val="BodyTextoutside-table"/>
        <w:bidi w:val="0"/>
        <w:spacing w:before="0" w:after="283"/>
        <w:ind w:firstLine="709" w:left="0" w:right="0"/>
        <w:jc w:val="left"/>
        <w:rPr/>
      </w:pPr>
      <w:r>
        <w:rPr/>
        <w:t xml:space="preserve">– </w:t>
      </w:r>
      <w:r>
        <w:rPr>
          <w:rFonts w:ascii="times new roman;times" w:hAnsi="times new roman;times"/>
          <w:sz w:val="24"/>
        </w:rPr>
        <w:t>общественной организацией «Республиканский союз защитников Приднестровской Молдавской Республики» на 19 человек;</w:t>
      </w:r>
    </w:p>
    <w:p>
      <w:pPr>
        <w:pStyle w:val="BodyTextoutside-table"/>
        <w:bidi w:val="0"/>
        <w:spacing w:before="0" w:after="283"/>
        <w:ind w:firstLine="709" w:left="0" w:right="0"/>
        <w:jc w:val="left"/>
        <w:rPr/>
      </w:pPr>
      <w:r>
        <w:rPr/>
        <w:t xml:space="preserve">– </w:t>
      </w:r>
      <w:r>
        <w:rPr>
          <w:rFonts w:ascii="times new roman;times" w:hAnsi="times new roman;times"/>
          <w:sz w:val="24"/>
        </w:rPr>
        <w:t>общественной организацией «Союз ветеранов войны в Афганистане Рыбницы» на 2 человек;</w:t>
      </w:r>
    </w:p>
    <w:p>
      <w:pPr>
        <w:pStyle w:val="BodyTextoutside-table"/>
        <w:bidi w:val="0"/>
        <w:spacing w:before="0" w:after="283"/>
        <w:ind w:firstLine="709" w:left="0" w:right="0"/>
        <w:jc w:val="left"/>
        <w:rPr/>
      </w:pPr>
      <w:r>
        <w:rPr/>
        <w:t xml:space="preserve">– </w:t>
      </w:r>
      <w:r>
        <w:rPr>
          <w:rFonts w:ascii="times new roman;times" w:hAnsi="times new roman;times"/>
          <w:sz w:val="24"/>
        </w:rPr>
        <w:t>общественной организацией «Григориопольский союз ветеранов войны в Афганистане» на 2 человек;</w:t>
      </w:r>
    </w:p>
    <w:p>
      <w:pPr>
        <w:pStyle w:val="BodyTextoutside-table"/>
        <w:bidi w:val="0"/>
        <w:spacing w:before="0" w:after="283"/>
        <w:ind w:firstLine="709" w:left="0" w:right="0"/>
        <w:jc w:val="left"/>
        <w:rPr/>
      </w:pPr>
      <w:r>
        <w:rPr/>
        <w:t xml:space="preserve">– </w:t>
      </w:r>
      <w:r>
        <w:rPr>
          <w:rFonts w:ascii="times new roman;times" w:hAnsi="times new roman;times"/>
          <w:sz w:val="24"/>
        </w:rPr>
        <w:t>общественной организацией «Союз ветеранов войны в Афганистане Слободзейского района» на 1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Программой денежные средства в 2023 году запланированы следующим образом:</w:t>
      </w:r>
    </w:p>
    <w:p>
      <w:pPr>
        <w:pStyle w:val="BodyTextoutside-table"/>
        <w:bidi w:val="0"/>
        <w:spacing w:before="0" w:after="283"/>
        <w:ind w:firstLine="709" w:left="0" w:right="0"/>
        <w:jc w:val="left"/>
        <w:rPr/>
      </w:pPr>
      <w:r>
        <w:rPr/>
        <w:t xml:space="preserve">– </w:t>
      </w:r>
      <w:r>
        <w:rPr>
          <w:rFonts w:ascii="times new roman;times" w:hAnsi="times new roman;times"/>
          <w:sz w:val="24"/>
        </w:rPr>
        <w:t>1 200 000 рублей для кредитования граждан за счет денежных средств ЗАО «Сберегательный банк»;</w:t>
      </w:r>
    </w:p>
    <w:p>
      <w:pPr>
        <w:pStyle w:val="BodyTextoutside-table"/>
        <w:bidi w:val="0"/>
        <w:spacing w:before="0" w:after="283"/>
        <w:ind w:firstLine="709" w:left="0" w:right="0"/>
        <w:jc w:val="left"/>
        <w:rPr/>
      </w:pPr>
      <w:r>
        <w:rPr/>
        <w:t xml:space="preserve">– </w:t>
      </w:r>
      <w:r>
        <w:rPr>
          <w:rFonts w:ascii="times new roman;times" w:hAnsi="times new roman;times"/>
          <w:sz w:val="24"/>
        </w:rPr>
        <w:t>468 000 рублей для частичного покрытия (возмещения, субсидирования) ЗАО «Сберегательный банк» процентов по предоставленным льготным кредитам за счет средств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Финансовое обеспечение Программы за отчетный период состоит из следующих показателей:</w:t>
      </w:r>
    </w:p>
    <w:tbl>
      <w:tblPr>
        <w:tblW w:w="5000" w:type="pct"/>
        <w:jc w:val="left"/>
        <w:tblInd w:w="0" w:type="dxa"/>
        <w:tblLayout w:type="fixed"/>
        <w:tblCellMar>
          <w:top w:w="28" w:type="dxa"/>
          <w:left w:w="28" w:type="dxa"/>
          <w:bottom w:w="28" w:type="dxa"/>
          <w:right w:w="28" w:type="dxa"/>
        </w:tblCellMar>
      </w:tblPr>
      <w:tblGrid>
        <w:gridCol w:w="3659"/>
        <w:gridCol w:w="1494"/>
        <w:gridCol w:w="1598"/>
        <w:gridCol w:w="1821"/>
        <w:gridCol w:w="1633"/>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Показатели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План</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Факт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Отклонение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испол-нения</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выданных кредитов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1 200 000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529 550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670 450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44,13</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13% годовых, подлежащих возмещению за счет средств бюджета на соответствующий финансовый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468 000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77 968,63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390 031,37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16,66</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13% годовых, возмещенных фактически в 2023 году</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59 539,00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Остаток невозмещенных средств на 1 января 2024 года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18 429,63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r>
    </w:tbl>
    <w:p>
      <w:pPr>
        <w:pStyle w:val="BodyTextoutside-table"/>
        <w:bidi w:val="0"/>
        <w:spacing w:before="0" w:after="283"/>
        <w:ind w:firstLine="709" w:left="0" w:right="0"/>
        <w:jc w:val="left"/>
        <w:rPr/>
      </w:pPr>
      <w:r>
        <w:rPr>
          <w:rFonts w:ascii="times new roman;times" w:hAnsi="times new roman;times"/>
          <w:sz w:val="24"/>
        </w:rPr>
        <w:t xml:space="preserve">Таким образом, фактическое исполнение Программы по объему выделенных денежных средств для кредитования граждан составило </w:t>
      </w:r>
      <w:r>
        <w:rPr/>
        <w:br/>
      </w:r>
      <w:r>
        <w:rPr>
          <w:rFonts w:ascii="times new roman;times" w:hAnsi="times new roman;times"/>
          <w:sz w:val="24"/>
        </w:rPr>
        <w:t>в 2023 году 44,13 процента, а по объему в части погашения (субсидирования) процентов – 16,66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сравнению с 2022 годом численность получивших кредиты граждан выросла на 31,57 процента. По сравнению с 2021 годом численность получивших кредиты граждан выросла на 27,15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 отметить, что в соответствии с Программой выдача кредитов участникам боевых действий по защите Приднестровской Молдавской Республики и участникам боевых действий в Афганистане в период с апреля 1978 года по 15 февраля 1989 года по итогам 2023 года завершена.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фактическое исполнение Программы по объему выделенных денежных средств для кредитования граждан составило за 2021–2023 годы 24,56 процента, в последующие годы действие Программы предусматривается только в части погашения задолженности и субсидирования процентов.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 отметить, что в ходе реализации программы по итогам рассмотрения и утверждения ежегодных отчетов за 2021 и 2022 годы о ходе реализации рассматриваемой государственной целевой программы Верховным Советом Приднестровской Молдавской Республики совместно с исполнительными органами власти проводились совещания и вырабатывались комплексные решения, которые расширяли перечень возможных участников Программы. Данные решения привели к росту показателя по объему выделенных денежных средств для кредитования граждан.</w:t>
      </w:r>
    </w:p>
    <w:p>
      <w:pPr>
        <w:pStyle w:val="BodyTextoutside-table"/>
        <w:bidi w:val="0"/>
        <w:spacing w:before="0" w:after="283"/>
        <w:ind w:firstLine="709" w:left="0" w:right="0"/>
        <w:jc w:val="left"/>
        <w:rPr/>
      </w:pPr>
      <w:r>
        <w:rPr>
          <w:rFonts w:ascii="times new roman;times" w:hAnsi="times new roman;times"/>
          <w:sz w:val="24"/>
        </w:rPr>
        <w:t xml:space="preserve">В 2022 году по итогам рассмотрения отчета о ходе реализации Программы в 2021 году, учитывая наличие обращений граждан и то, что </w:t>
      </w:r>
      <w:r>
        <w:rPr/>
        <w:t xml:space="preserve">
</w:t>
      </w:r>
      <w:r>
        <w:rPr>
          <w:rFonts w:ascii="times new roman;times" w:hAnsi="times new roman;times"/>
          <w:sz w:val="24"/>
        </w:rPr>
        <w:t xml:space="preserve">в 2021 году льготные кредиты выданы 10 гражданам на общую сумму </w:t>
      </w:r>
      <w:r>
        <w:rPr/>
        <w:t xml:space="preserve">
</w:t>
      </w:r>
      <w:r>
        <w:rPr>
          <w:rFonts w:ascii="times new roman;times" w:hAnsi="times new roman;times"/>
          <w:sz w:val="24"/>
        </w:rPr>
        <w:t xml:space="preserve">203 800 рублей (16,98 процента от объема запланированных денежных средств, выделяемых ЗАО «Сберегательный банк» для финансирования Программы), Законом Приднестровской Молдавской Республики </w:t>
      </w:r>
      <w:r>
        <w:rPr/>
        <w:t xml:space="preserve">
</w:t>
      </w:r>
      <w:hyperlink r:id="rId9">
        <w:r>
          <w:rPr>
            <w:rFonts w:ascii="times new roman;times" w:hAnsi="times new roman;times"/>
            <w:sz w:val="24"/>
            <w:color w:val="0563C1"/>
            <w:u w:val="single"/>
          </w:rPr>
          <w:t xml:space="preserve">от 1 августа 2022 года № 236-ЗИД-VII</w:t>
        </w:r>
      </w:hyperlink>
      <w:r>
        <w:rPr>
          <w:rFonts w:ascii="times new roman;times" w:hAnsi="times new roman;times"/>
          <w:sz w:val="24"/>
        </w:rPr>
        <w:t xml:space="preserve"> «О внесении изменений и дополнений в Закон Приднестровской Молдавской Республики «Об утверждении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ставших инвалидами I или II группы общего заболевания, трудового увечья, профессионального заболевания, заболевания, полученного в период военной службы, инвалидами I или II группы по зрению» на период </w:t>
      </w:r>
      <w:r>
        <w:rPr/>
        <w:t xml:space="preserve">
</w:t>
      </w:r>
      <w:r>
        <w:rPr>
          <w:rFonts w:ascii="times new roman;times" w:hAnsi="times new roman;times"/>
          <w:sz w:val="24"/>
        </w:rPr>
        <w:t xml:space="preserve">2021–2026 годов» (САЗ 22-30) внесены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расширен перечень возможных участников Программы, добавлены новые категории: «инвалиды III группы общего заболевания, трудового увечья, профессионального заболевания, заболевания, полученного в период военной службы»; «ставшие инвалидами вследствие полученных при защите Приднестровской Молдавской Республики ранения, контузии, увечья или заболеваний и ранее не участвовавшие в программе для данной категории»;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добавлена возможность потенциальному заемщику обратиться в адрес Министерства по социальной защите и труду Приднестровской Молдавской Республики с документами напрямую, без обращения в общественную организацию, расположенную по месту его проживания (вблизи);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дополнен перечень информации, который необходимо предоставить при отчете о ходе реализации Программы.</w:t>
      </w:r>
    </w:p>
    <w:p>
      <w:pPr>
        <w:pStyle w:val="BodyTextoutside-table"/>
        <w:bidi w:val="0"/>
        <w:spacing w:before="0" w:after="283"/>
        <w:ind w:firstLine="709" w:left="0" w:right="0"/>
        <w:jc w:val="left"/>
        <w:rPr/>
      </w:pPr>
      <w:r>
        <w:rPr>
          <w:rFonts w:ascii="times new roman;times" w:hAnsi="times new roman;times"/>
          <w:sz w:val="24"/>
        </w:rPr>
        <w:t xml:space="preserve">В результате принятия вышеуказанного Закона, которым добавлены новые категории, был расширен перечень возможных участников Программы на общее количество граждан, являющихся участниками боевых действий по защите Приднестровской Молдавской Республики, участниками боевых действий в Афганистане в период с апреля 1978 года по 15 февраля </w:t>
      </w:r>
      <w:r>
        <w:rPr/>
        <w:br/>
      </w:r>
      <w:r>
        <w:rPr>
          <w:rFonts w:ascii="times new roman;times" w:hAnsi="times new roman;times"/>
          <w:sz w:val="24"/>
        </w:rPr>
        <w:t xml:space="preserve">1989 года, ставшими инвалидами III группы инвалидности общего заболевания, трудового увечья, профессионального заболевания, заболевания, полученного в период военной службы, инвалидами III группы по зрению, </w:t>
      </w:r>
      <w:r>
        <w:rPr/>
        <w:br/>
      </w:r>
      <w:r>
        <w:rPr>
          <w:rFonts w:ascii="times new roman;times" w:hAnsi="times new roman;times"/>
          <w:sz w:val="24"/>
        </w:rPr>
        <w:t>в количестве 304 человека. Предполагалось, что за получением льготного кредита смогут дополнительно обратиться более 100 человек III группы инвалидности.</w:t>
      </w:r>
    </w:p>
    <w:p>
      <w:pPr>
        <w:pStyle w:val="BodyTextoutside-table"/>
        <w:bidi w:val="0"/>
        <w:spacing w:before="0" w:after="283"/>
        <w:ind w:firstLine="709" w:left="0" w:right="0"/>
        <w:jc w:val="left"/>
        <w:rPr/>
      </w:pPr>
      <w:r>
        <w:rPr>
          <w:rFonts w:ascii="times new roman;times" w:hAnsi="times new roman;times"/>
          <w:sz w:val="24"/>
        </w:rPr>
        <w:t xml:space="preserve">Однако по итогам рассмотрения отчета о ходе реализации Программы в 2022 году льготные кредиты выданы 7 гражданам на общую сумму </w:t>
      </w:r>
      <w:r>
        <w:rPr/>
        <w:br/>
      </w:r>
      <w:r>
        <w:rPr>
          <w:rFonts w:ascii="times new roman;times" w:hAnsi="times new roman;times"/>
          <w:sz w:val="24"/>
        </w:rPr>
        <w:t>150 700 рублей (12,6 процента от объема запланированных денежных средств, выделяемых ЗАО «Сберегательный банк» для финансирования Программы).</w:t>
      </w:r>
    </w:p>
    <w:p>
      <w:pPr>
        <w:pStyle w:val="BodyTextoutside-table"/>
        <w:bidi w:val="0"/>
        <w:spacing w:before="0" w:after="283"/>
        <w:ind w:firstLine="709" w:left="0" w:right="0"/>
        <w:jc w:val="left"/>
        <w:rPr/>
      </w:pPr>
      <w:r>
        <w:rPr>
          <w:rFonts w:ascii="times new roman;times" w:hAnsi="times new roman;times"/>
          <w:sz w:val="24"/>
        </w:rPr>
        <w:t xml:space="preserve">В 2023 году, принимая во внимание отчеты, представленные Правительством Приднестровской Молдавской Республики, Законом Приднестровской Молдавской Республики </w:t>
      </w:r>
      <w:hyperlink r:id="rId10">
        <w:r>
          <w:rPr>
            <w:rFonts w:ascii="times new roman;times" w:hAnsi="times new roman;times"/>
            <w:sz w:val="24"/>
            <w:color w:val="0563C1"/>
            <w:u w:val="single"/>
          </w:rPr>
          <w:t xml:space="preserve">от 27 июля 2023 года № 270-ЗИ-VII</w:t>
        </w:r>
      </w:hyperlink>
      <w:r>
        <w:rPr>
          <w:rFonts w:ascii="times new roman;times" w:hAnsi="times new roman;times"/>
          <w:sz w:val="24"/>
        </w:rPr>
        <w:t xml:space="preserve"> «О внесении изменений в Закон Приднестровской Молдавской Республики «Об утверждении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ставших инвалидами I, II или III группы общего заболевания, трудового увечья, профессионального заболевания, заболевания, полученного в период военной службы, инвалидами I, II или III группы по зрению, а также ставших инвалидами вследствие полученных при защите Приднестровской Молдавской Республики ранения, контузии, увечья или заболеваний и ранее не участвовавших в программе для данной категории» на период </w:t>
      </w:r>
      <w:r>
        <w:rPr/>
        <w:t xml:space="preserve">
</w:t>
      </w:r>
      <w:r>
        <w:rPr>
          <w:rFonts w:ascii="times new roman;times" w:hAnsi="times new roman;times"/>
          <w:sz w:val="24"/>
        </w:rPr>
        <w:t xml:space="preserve">2021–2026 годов» (САЗ 23-30) внесены изменения, расширяющие категории потенциальных заемщиков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(являющихся получателями пенсии и иных социальных выплат в рублях ПМР или в рублях РФ) вне зависимости от наличия у них инвалидности, в результате чего воспользоваться правом на получение льготного кредита предоставлена возможность дополнительно около 60 человекам.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отметить, что при утверждении Программы в 2021 году насчитывалось 468 (четыреста шестьдесят восемь) граждан, обладающих вышеуказанным статусом, и, следовательно, являющихся потенциальными участниками данной программы. В результате принятия вышеуказанных Законов, которыми добавлены новые категории, был расширен перечень возможных участников Программы еще на 200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учетом вышеуказанных изменений основной задачей Программы является обеспечение льготным кредитованием участников боевых действий по защите Приднестровской Молдавской Республики и участников боевых действий в Афганистане в период с апреля 1978 года по 15 февраля 1989 года, заинтересованных в получении кредита под низкие проценты.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Займы выдаются на срок до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Программа является среднесрочной и рассчитана на 2021–2026 годы: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2021–2023 годы – выдача кредитов;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2021–2026 годы – погашение кредитов.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Максимальная сумма кредита определяется исходя из платежеспособности потенциального заемщика, но не может превышать:</w:t>
      </w:r>
    </w:p>
    <w:p>
      <w:pPr>
        <w:pStyle w:val="BodyTextoutside-table"/>
        <w:bidi w:val="0"/>
        <w:spacing w:before="0" w:after="283"/>
        <w:ind w:firstLine="709" w:left="0" w:right="0"/>
        <w:jc w:val="left"/>
        <w:rPr/>
      </w:pPr>
      <w:r>
        <w:rPr>
          <w:rFonts w:ascii="times new roman;times" w:hAnsi="times new roman;times"/>
          <w:sz w:val="24"/>
        </w:rPr>
        <w:t xml:space="preserve">а) 25 000 рублей – для потенциальных заемщиков не старше </w:t>
      </w:r>
      <w:r>
        <w:rPr/>
        <w:br/>
      </w:r>
      <w:r>
        <w:rPr>
          <w:rFonts w:ascii="times new roman;times" w:hAnsi="times new roman;times"/>
          <w:sz w:val="24"/>
        </w:rPr>
        <w:t>70 (семидесяти) лет на момент окончания кредитного договора;</w:t>
      </w:r>
    </w:p>
    <w:p>
      <w:pPr>
        <w:pStyle w:val="BodyTextoutside-table"/>
        <w:bidi w:val="0"/>
        <w:spacing w:before="0" w:after="283"/>
        <w:ind w:firstLine="709" w:left="0" w:right="0"/>
        <w:jc w:val="left"/>
        <w:rPr/>
      </w:pPr>
      <w:r>
        <w:rPr>
          <w:rFonts w:ascii="times new roman;times" w:hAnsi="times new roman;times"/>
          <w:sz w:val="24"/>
        </w:rPr>
        <w:t xml:space="preserve">б) 15 000 рублей – для потенциальных заемщиков в возрасте </w:t>
      </w:r>
      <w:r>
        <w:rPr/>
        <w:br/>
      </w:r>
      <w:r>
        <w:rPr>
          <w:rFonts w:ascii="times new roman;times" w:hAnsi="times new roman;times"/>
          <w:sz w:val="24"/>
        </w:rPr>
        <w:t>от 70 (семидесяти) лет до 75 (семидесяти пяти) лет на момент окончания кредитного договора.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Погашение кредита производится в виде аннуитетных выплат (то есть фиксированных, одинаковых по размеру).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Основным ответственным исполнителем Программы является Министерство по социальной защите и труду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Ответственным исполнителем Программы является </w:t>
      </w:r>
      <w:r>
        <w:rPr/>
        <w:br/>
      </w:r>
      <w:r>
        <w:rPr>
          <w:rFonts w:ascii="times new roman;times" w:hAnsi="times new roman;times"/>
          <w:sz w:val="24"/>
        </w:rPr>
        <w:t>ЗАО «Сберегательный банк».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Денежные средства предоставляются ЗАО «Сберегательный банк» под процентную ставку, равную 17 процентам годовых, при этом 4 процента годовых оплачивает заемщик, 13 процентов годовых покрываются за счет средств республиканского бюджета на соответствующий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Программой потенциальный заемщик должен обратиться в общественную организацию, расположенную по месту его проживания (вблизи), с документами, перечень которых установлен Программой, для получения ходатайства общественной организации о предоставлении потребительского кредита в рамках Программы. Общественная организация, в которую обратился потенциальный заемщик, с сопроводительным письмом на имя министра по социальной защите и труду Приднестровской Молдавской Республики направляет ходатайство о предоставлении потребительского кредита в рамках Программы. Также потенциальный заемщик вправе обратиться с документами напрямую в адрес Министерства по социальной защите и труду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реализации Программы предусмотрены следующие основные мероприятия:</w:t>
      </w:r>
    </w:p>
    <w:p>
      <w:pPr>
        <w:pStyle w:val="BodyTextoutside-table"/>
        <w:bidi w:val="0"/>
        <w:spacing w:before="0" w:after="283"/>
        <w:ind w:firstLine="709" w:left="0" w:right="0"/>
        <w:jc w:val="left"/>
        <w:rPr/>
      </w:pPr>
      <w:r>
        <w:rPr>
          <w:rFonts w:ascii="times new roman;times" w:hAnsi="times new roman;times"/>
          <w:sz w:val="24"/>
        </w:rPr>
        <w:t xml:space="preserve">а) информирование об условиях льготного кредитования участников боевых действий по защите Приднестровской Молдавской Республики и участников боевых действий в Афганистане в период с апреля 1978 года </w:t>
      </w:r>
      <w:r>
        <w:rPr/>
        <w:br/>
      </w:r>
      <w:r>
        <w:rPr>
          <w:rFonts w:ascii="times new roman;times" w:hAnsi="times new roman;times"/>
          <w:sz w:val="24"/>
        </w:rPr>
        <w:t>по 15 февраля 1989 года, ранее не участвовавших в программе льготного кредитования;</w:t>
      </w:r>
    </w:p>
    <w:p>
      <w:pPr>
        <w:pStyle w:val="BodyTextoutside-table"/>
        <w:bidi w:val="0"/>
        <w:spacing w:before="0" w:after="283"/>
        <w:ind w:firstLine="709" w:left="0" w:right="0"/>
        <w:jc w:val="left"/>
        <w:rPr/>
      </w:pPr>
      <w:r>
        <w:rPr>
          <w:rFonts w:ascii="times new roman;times" w:hAnsi="times new roman;times"/>
          <w:sz w:val="24"/>
        </w:rPr>
        <w:t xml:space="preserve">б) предоставление ЗАО «Сберегательный банк» льготных потребительских кредитов заинтересованным в получении кредита под низкие проценты участникам боевых действий по защите Приднестровской Молдавской Республики и участникам боевых действий в Афганистане в период с апреля 1978 года по 15 февраля 1989 года, ранее не участвовавших </w:t>
      </w:r>
      <w:r>
        <w:rPr/>
        <w:br/>
      </w:r>
      <w:r>
        <w:rPr>
          <w:rFonts w:ascii="times new roman;times" w:hAnsi="times new roman;times"/>
          <w:sz w:val="24"/>
        </w:rPr>
        <w:t>в программе льготного кредитования;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финансирование в пределах плановых лимитов средств, утвержденных законом о республиканском бюджете на соответствующий финансовый год, частичного покрытия процентов (13 процентов) по предоставленным льготным кредитам ЗАО «Сберегательный банк».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пунктом 28 Программы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 установленные действующим законодательством, определяющим (устанавливающим) общие принципы построения и функционирования бюджетной системы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Отчет о ходе реализации Программы включает в себя следующие показатели: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количество получателей кредитных средств в разрезе категорий;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сумма субсидирования за счет средств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сумма выданного кредита;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сумма погашенного кредита;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сумма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количество обратившихся потенциальных заемщиков в разрезе общественных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количество одобренных заявок;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количество отказов оформления заявки потенциальным заемщикам в разрезе общественных организаций с указанием причины отказа.</w:t>
      </w:r>
    </w:p>
    <w:p>
      <w:pPr>
        <w:pStyle w:val="BodyTextoutside-table"/>
        <w:bidi w:val="0"/>
        <w:spacing w:before="0" w:after="283"/>
        <w:ind w:firstLine="709" w:left="0" w:right="0"/>
        <w:jc w:val="left"/>
        <w:rPr/>
      </w:pPr>
      <w:r>
        <w:rPr/>
        <w:t> </w:t>
      </w:r>
      <w:r>
        <w:rPr>
          <w:rFonts w:ascii="times new roman;times" w:hAnsi="times new roman;times"/>
          <w:sz w:val="24"/>
        </w:rPr>
        <w:t xml:space="preserve">На основании вышеизложенного,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outlineLvl w:val="1"/>
        <w:rPr/>
      </w:pPr>
      <w:r>
        <w:rPr>
          <w:rStyle w:val="Strong"/>
        </w:rPr>
        <w:t> </w:t>
      </w:r>
      <w:r>
        <w:rPr>
          <w:rFonts w:ascii="times new roman;times" w:hAnsi="times new roman;times"/>
          <w:sz w:val="24"/>
        </w:rPr>
        <w:t>1. Утвердить отчет об исполнении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2021–2026 годов за 2023 год.</w:t>
      </w:r>
    </w:p>
    <w:p>
      <w:pPr>
        <w:pStyle w:val="BodyTextoutside-table"/>
        <w:bidi w:val="0"/>
        <w:spacing w:before="0" w:after="283"/>
        <w:ind w:firstLine="709" w:left="0" w:right="0"/>
        <w:jc w:val="left"/>
        <w:outlineLvl w:val="1"/>
        <w:rPr/>
      </w:pPr>
      <w:r>
        <w:rPr/>
        <w:t> </w:t>
      </w:r>
      <w:r>
        <w:rPr>
          <w:rFonts w:ascii="times new roman;times" w:hAnsi="times new roman;times"/>
          <w:sz w:val="24"/>
        </w:rPr>
        <w:t>2.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июля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3242</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C%D0%B0%D1%80%D1%82%D0%B0%202024%20%D0%B3%D0%BE%D0%B4%D0%B0%20%E2%84%96%2001-52/44" TargetMode="External"/><Relationship Id="rId6" Type="http://schemas.openxmlformats.org/officeDocument/2006/relationships/hyperlink" Target="documents/search/doc-link/?q=%D0%BE%D1%82%2013%20%D0%B8%D1%8E%D0%BB%D1%8F%202021%20%D0%B3%D0%BE%D0%B4%D0%B0%20%0A%E2%84%96%20152-%D0%97-VII" TargetMode="External"/><Relationship Id="rId7" Type="http://schemas.openxmlformats.org/officeDocument/2006/relationships/hyperlink" Target="documents/search/doc-link/?q=%D0%BE%D1%82%2011%20%D0%BD%D0%BE%D1%8F%D0%B1%D1%80%D1%8F%202023%20%D0%B3%D0%BE%D0%B4%D0%B0%20%0A%E2%84%96%2001-05/4581" TargetMode="External"/><Relationship Id="rId8" Type="http://schemas.openxmlformats.org/officeDocument/2006/relationships/hyperlink" Target="documents/search/doc-link/?q=%D0%BE%D1%82%2029%20%D0%B4%D0%B5%D0%BA%D0%B0%D0%B1%D1%80%D1%8F%202023%20%D0%B3%D0%BE%D0%B4%D0%B0%20%E2%84%96%2001-05/5204" TargetMode="External"/><Relationship Id="rId9" Type="http://schemas.openxmlformats.org/officeDocument/2006/relationships/hyperlink" Target="documents/search/doc-link/?q=%D0%BE%D1%82%201%20%D0%B0%D0%B2%D0%B3%D1%83%D1%81%D1%82%D0%B0%202022%20%D0%B3%D0%BE%D0%B4%D0%B0%20%E2%84%96%20236-%D0%97%D0%98%D0%94-VII" TargetMode="External"/><Relationship Id="rId10" Type="http://schemas.openxmlformats.org/officeDocument/2006/relationships/hyperlink" Target="documents/search/doc-link/?q=%D0%BE%D1%82%2027%20%D0%B8%D1%8E%D0%BB%D1%8F%202023%20%D0%B3%D0%BE%D0%B4%D0%B0%20%E2%84%96%20270-%D0%97%D0%98-VII"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2168</Words>
  <Characters>14947</Characters>
  <CharactersWithSpaces>17112</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