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3241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3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Об утверждении отчета об исполнении государственной целевой программы «Поддержка и развитие туризма в Приднестровской Молдавской Республике» на 2019</w:t>
      </w:r>
      <w:r>
        <w:rPr>
          <w:rFonts w:ascii="times new roman;times" w:hAnsi="times new roman;times"/>
          <w:sz w:val="24"/>
        </w:rPr>
        <w:t>–</w:t>
      </w:r>
      <w:r>
        <w:rPr>
          <w:rStyle w:val="Strong"/>
          <w:rFonts w:ascii="times new roman;times" w:hAnsi="times new roman;times"/>
          <w:sz w:val="24"/>
        </w:rPr>
        <w:t>2026 годы за 2023 год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отчет о ходе реализации мероприятий государственной целевой программы «Поддержка и развитие туризма в Приднестровской Молдавской Республике» на 2019–2026 годы за 2023 год, представленный к рассмотрению Правительством Приднестровской Молдавской Республики (письмо Председателя Правительства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2024 года № 01-52/44</w:t>
        </w:r>
      </w:hyperlink>
      <w:r>
        <w:rPr>
          <w:rFonts w:ascii="times new roman;times" w:hAnsi="times new roman;times"/>
          <w:sz w:val="24"/>
        </w:rPr>
        <w:t xml:space="preserve">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соответствии с пунктом 5 статьи 16-1 Закона Приднестровской Молдавской Республики «О бюджетной системе в Приднестровской Молдавской Республике», Верховный Совет Приднестровской Молдавской Республики отмечает следующее.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Государственная целевая программа «Поддержка и развитие туризма в Приднестровской Молдавской Республике» на 2019–2026 годы (далее по тексту – государственная целевая программа) утверждена Законом Приднестровской Молдавской Республики «Об утверждении государственной целевой программы «Поддержка и развитие туризма в Приднестровской Молдавской Республике» на 2019–2026 годы» и направлена на создание современной, конкурентоспособной туристской отрасли, ориентированной на максимально полное удовлетворение потребностей граждан Приднестровской Молдавской Республики, граждан иностранных государств в услугах внутреннего и въездного туризма.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целях реализации Стратегии развития Приднестровской Молдавской Республики на 2019–2026 годы, в которой одним из приоритетных направлений обозначена модернизация и расширение туристической отрасли, и реализации мероприятий государственной целевой программы в 2023 году, были выполнены 9 мероприятий, что составляет 100 процентов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 запланированных в отчетный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Фактическое финансирование государственной целевой программы </w:t>
      </w:r>
      <w:r>
        <w:rPr/>
        <w:br/>
      </w:r>
      <w:r>
        <w:rPr>
          <w:rFonts w:ascii="times new roman;times" w:hAnsi="times new roman;times"/>
          <w:sz w:val="24"/>
        </w:rPr>
        <w:t xml:space="preserve">в 2023 году, согласно информации отчета, составило 948 635 рублей, или </w:t>
      </w:r>
      <w:r>
        <w:rPr/>
        <w:br/>
      </w:r>
      <w:r>
        <w:rPr>
          <w:rFonts w:ascii="times new roman;times" w:hAnsi="times new roman;times"/>
          <w:sz w:val="24"/>
        </w:rPr>
        <w:t>97,5 процента из утвержденных 973 081 рубля.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Продвижение и активная рекламная кампания приднестровского туристского продукта. Фактическое финансирование данного мероприятия составило 281 059 рублей, или 99,6 процента из утвержденных 282 320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Разработка, поддержка и продвижение интернет-сайта «Познавай Приднестровье» с полной информацией для туристов, внутренних и въездных. Фактическое финансирование данного мероприятия составило 40 000 рублей, или 100 процентов из утвержденных 40 000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Ежегодное участие в международных туристских выставках, а также продвижение туристской дестинации на электронных туристских выставках. Фактическое финансирование данного мероприятия составило 38 000 рублей, или 100 процентов из утвержденных 38 000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 Разработка каталога поставщиков туристских услуг, в том числе национальной гостиничной сети, конференц-залов по приему международных конференций, пунктов общественного питания, транспортных компаний, организаций, предоставляющих медицинские услуги. Фактическое финансирование данного мероприятия составило 55 000 рублей, или </w:t>
      </w:r>
      <w:r>
        <w:rPr/>
        <w:br/>
      </w:r>
      <w:r>
        <w:rPr>
          <w:rFonts w:ascii="times new roman;times" w:hAnsi="times new roman;times"/>
          <w:sz w:val="24"/>
        </w:rPr>
        <w:t>100 процентов из утвержденных 55 000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5. Разработка и установка новых табличек с названиями улиц с дублированием на иностранном языке. Фактическое финансирование данного мероприятия составило 29 900 рублей, или 100 процентов из утвержденных </w:t>
      </w:r>
      <w:r>
        <w:rPr/>
        <w:br/>
      </w:r>
      <w:r>
        <w:rPr>
          <w:rFonts w:ascii="times new roman;times" w:hAnsi="times new roman;times"/>
          <w:sz w:val="24"/>
        </w:rPr>
        <w:t>29 900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6. Оборудование туристских объектов информационными стендами </w:t>
      </w:r>
      <w:r>
        <w:rPr/>
        <w:br/>
      </w:r>
      <w:r>
        <w:rPr>
          <w:rFonts w:ascii="times new roman;times" w:hAnsi="times new roman;times"/>
          <w:sz w:val="24"/>
        </w:rPr>
        <w:t>(с переводом на иностранный язык и матричными штрихкодами быстрого доступа к информации), создание аудиогидов. Фактическое финансирование данного мероприятия составило 166 300 рублей, или 91,9 процента из утвержденных 180 780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7. Разработка рекламного видеофильма и серии короткометражных рекламных роликов, направленных на продвижение туристского продукта республики. Фактическое финансирование данного мероприятия составило </w:t>
      </w:r>
      <w:r>
        <w:rPr/>
        <w:br/>
      </w:r>
      <w:r>
        <w:rPr>
          <w:rFonts w:ascii="times new roman;times" w:hAnsi="times new roman;times"/>
          <w:sz w:val="24"/>
        </w:rPr>
        <w:t>50 000 рублей, или 100 процентов из утвержденных 50 000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8. Установка стационарных санитарно-бытовых объектов общественного пользования (туалетов) в отобранных ответственными исполнителями туристских кластерах, приведение их в соответствие требованиям международных и национальных стандартов. Фактическое финансирование данного мероприятия составило 266 376 рублей, или </w:t>
      </w:r>
      <w:r>
        <w:rPr/>
        <w:br/>
      </w:r>
      <w:r>
        <w:rPr>
          <w:rFonts w:ascii="times new roman;times" w:hAnsi="times new roman;times"/>
          <w:sz w:val="24"/>
        </w:rPr>
        <w:t>96,8 процента из утвержденных 275 081 рубля.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Реализация мероприятий, направленных на создание условий для движения велосипедного транспорта по улично-дорожной сети, в том числе разработка проектно-сметной документации. Фактическое финансирование данного мероприятия составило 22 000 рублей, или 100 процентов из утвержденных 22 000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Таким образом: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плановые показатели финансирования программы в 2023 году составили 973 081 рубль;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фактически потребовалось финансирование на сумму </w:t>
      </w:r>
      <w:r>
        <w:rPr/>
        <w:br/>
      </w:r>
      <w:r>
        <w:rPr>
          <w:rFonts w:ascii="times new roman;times" w:hAnsi="times new roman;times"/>
          <w:sz w:val="24"/>
        </w:rPr>
        <w:t>948 635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процент выполнения плана – 97,5.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 основании вышеизложенного,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</w:rPr>
        <w:t> </w:t>
      </w:r>
      <w:r>
        <w:rPr>
          <w:rFonts w:ascii="times new roman;times" w:hAnsi="times new roman;times"/>
          <w:sz w:val="24"/>
        </w:rPr>
        <w:t>1. Утвердить отчет об исполнении государственной целевой программы «Поддержка и развитие туризма в Приднестровской Молдавской Республике» на 2019–2026 годы за 2023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«8»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3241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C%D0%B0%D1%80%D1%82%D0%B0%202024%20%D0%B3%D0%BE%D0%B4%D0%B0%20%E2%84%96%2001-52/4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645</Words>
  <Characters>4696</Characters>
  <CharactersWithSpaces>5373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