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ВНЕСЕНИИ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hyperlink r:id="rId5">
        <w:r>
          <w:rPr>
            <w:color w:val="0563C1"/>
            <w:u w:val="single"/>
          </w:rPr>
          <w:t xml:space="preserve">ОТ 04.03.94 N 75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пункт 2, абзац второй "также в п. I настоящего Постановления,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  рубля Приднестровской Молдавской Республики применяется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Постановления  Правительства N 75 при обязательной продаже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валюты  в соответствии с распоряжением Правительства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6">
        <w:r>
          <w:rPr>
            <w:color w:val="0563C1"/>
            <w:u w:val="single"/>
          </w:rPr>
          <w:t xml:space="preserve">от 14 января 1994 года N 19</w:t>
        </w:r>
      </w:hyperlink>
      <w:r>
        <w:rPr/>
        <w:t xml:space="preserve"> рп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применения в  качестве  платежного  средства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денежных  знаков Российской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и других государств".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04.03.94%20N%2075" TargetMode="External"/><Relationship Id="rId6" Type="http://schemas.openxmlformats.org/officeDocument/2006/relationships/hyperlink" Target="documents/search/doc-link/?q=%D0%BE%D1%82%2014%20%D1%8F%D0%BD%D0%B2%D0%B0%D1%80%D1%8F%201994%20%D0%B3%D0%BE%D0%B4%D0%B0%20N%20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775</Characters>
  <CharactersWithSpaces>1219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