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апреля 2022 года № 349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 действие ПОТ 001-22 «Правила по охране труда при выполнении окрасочных работ» (регистрационный № 11024 от 11 мая 2022 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(САЗ 22-18)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12371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213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2022 года № 349</w:t>
        </w:r>
      </w:hyperlink>
      <w:r>
        <w:rPr>
          <w:rFonts w:ascii="times new roman;times" w:hAnsi="times new roman;times"/>
          <w:sz w:val="24"/>
        </w:rPr>
        <w:t xml:space="preserve"> «Об утверждении и введении в действие ПОТ 001-22 «Правила по охране труда при выполнении окрасочных работ» (регистрационный № 11024 от 11 мая 2022 года) (САЗ 22-18)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в части первой пункта 9 Приложения к Приказу (далее – ПОТ 001-22) слова «согласно Приложению к настоящим Правилам» заменить словами «в соответствии с 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31 ПОТ 001-22 после слов «профессиональных рисков» дополнить словами «и (или) состояния условий труда на рабочих местах»;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ПОТ 001-22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298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0%D0%BF%D1%80%D0%B5%D0%BB%D1%8F%202022%C2%A0%D0%B3%D0%BE%D0%B4%D0%B0%20%E2%84%96%C2%A0349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514</Words>
  <Characters>2966</Characters>
  <CharactersWithSpaces>3540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