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ЦИФРОВОГО РАЗВИТИЯ, СВЯЗИ И МАССОВЫХ КОММУНИКАЦИЙ</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Порядка подготовки и использования ресурсов единой сети электросвязи Приднестровской Молдавской Республики для сетей электросвязи специального назначения</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Согласован:</w:t>
      </w:r>
    </w:p>
    <w:p>
      <w:pPr>
        <w:pStyle w:val="BodyTextoutside-table"/>
        <w:bidi w:val="0"/>
        <w:spacing w:before="0" w:after="283"/>
        <w:ind w:firstLine="709" w:left="0" w:right="0"/>
        <w:jc w:val="center"/>
        <w:rPr/>
      </w:pPr>
      <w:r>
        <w:rPr>
          <w:rStyle w:val="Emphasis"/>
          <w:rFonts w:ascii="times new roman;times" w:hAnsi="times new roman;times"/>
          <w:sz w:val="24"/>
        </w:rPr>
        <w:t>Министерство государственной безопасности,</w:t>
      </w:r>
    </w:p>
    <w:p>
      <w:pPr>
        <w:pStyle w:val="BodyTextoutside-table"/>
        <w:bidi w:val="0"/>
        <w:spacing w:before="0" w:after="283"/>
        <w:ind w:firstLine="709" w:left="0" w:right="0"/>
        <w:jc w:val="center"/>
        <w:rPr/>
      </w:pPr>
      <w:r>
        <w:rPr>
          <w:rStyle w:val="Emphasis"/>
          <w:rFonts w:ascii="times new roman;times" w:hAnsi="times new roman;times"/>
          <w:sz w:val="24"/>
        </w:rPr>
        <w:t>Государственная служба охраны</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24 июля 2024 г.</w:t>
      </w:r>
    </w:p>
    <w:p>
      <w:pPr>
        <w:pStyle w:val="BodyTextoutside-table"/>
        <w:bidi w:val="0"/>
        <w:spacing w:before="0" w:after="283"/>
        <w:ind w:firstLine="709" w:left="0" w:right="0"/>
        <w:jc w:val="center"/>
        <w:rPr/>
      </w:pPr>
      <w:r>
        <w:rPr>
          <w:rStyle w:val="Emphasis"/>
          <w:rFonts w:ascii="times new roman;times" w:hAnsi="times new roman;times"/>
          <w:sz w:val="24"/>
        </w:rPr>
        <w:t>Регистрационный № 12634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29 августа 2008 года № 536-3-IV «Об электросвязи» (САЗ 08-34)</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21 января 2021 года № 12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21-3)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21 января 2021 года № 13 (САЗ 21-8)</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13 августа 2021 года № 268 (САЗ 21-33)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декабря 2021 года № 391 (САЗ 21-50)</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24 марта 2022 года № 98 (САЗ 22-11)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 декабря 2022 года № 449 (САЗ 22-48)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9 декабря 2022 года № 465 (САЗ 22-48)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11 мая 2023 года № 157 (САЗ 23-19)</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2023 года № 297 (САЗ 23-36)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22 января 2024 года № 33 (САЗ 24-5)</w:t>
        </w:r>
      </w:hyperlink>
      <w:r>
        <w:rPr>
          <w:rFonts w:ascii="times new roman;times" w:hAnsi="times new roman;times"/>
          <w:sz w:val="24"/>
        </w:rPr>
        <w:t xml:space="preserve">, в целях обеспечения правового механизма по реализации требований, предусмотренных пунктами 3, 4 статьи 38 Закона Приднестровской Молдавской Республики </w:t>
      </w:r>
      <w:hyperlink r:id="rId5">
        <w:r>
          <w:rPr>
            <w:rFonts w:ascii="times new roman;times" w:hAnsi="times new roman;times"/>
            <w:sz w:val="24"/>
            <w:color w:val="0563C1"/>
            <w:u w:val="single"/>
          </w:rPr>
          <w:t xml:space="preserve">от 29 августа 2008 года № 536-3-IV «Об электросвязи» (САЗ 08-34)</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и ввести в действие Порядок подготовки и использования ресурсов единой сети электросвязи Приднестровской Молдавской Республики для сетей электросвязи специального назначения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ДИМИТРОГЛО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июля 2024 г.</w:t>
      </w:r>
    </w:p>
    <w:p>
      <w:pPr>
        <w:pStyle w:val="BodyTextoutside-table"/>
        <w:bidi w:val="0"/>
        <w:spacing w:before="0" w:after="283"/>
        <w:ind w:firstLine="709" w:left="0" w:right="0"/>
        <w:jc w:val="left"/>
        <w:rPr/>
      </w:pPr>
      <w:r>
        <w:rPr/>
        <w:t>№ </w:t>
      </w:r>
      <w:r>
        <w:rPr>
          <w:rFonts w:ascii="times new roman;times" w:hAnsi="times new roman;times"/>
          <w:sz w:val="24"/>
        </w:rPr>
        <w:t>184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цифрового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развития, связи и массовых коммуникаций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16">
        <w:r>
          <w:rPr>
            <w:rFonts w:ascii="times new roman;times" w:hAnsi="times new roman;times"/>
            <w:sz w:val="20"/>
            <w:color w:val="0563C1"/>
            <w:u w:val="single"/>
          </w:rPr>
          <w:t xml:space="preserve">от 3 июля 2024 года № 184</w:t>
        </w:r>
      </w:hyperlink>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подготовки и использования ресурсов единой сети электросвязи Приднестровской Молдавской Республики для сетей электросвязи специального назначения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Порядок подготовки и использования ресурсов единой сети электросвязи Приднестровской Молдавской Республики для сетей электросвязи специального назначения (далее – Порядок) определяет порядок подготовки и использования ресурсов единой сети электросвязи Приднестровской Молдавской Республики, которыми располагают операторы электросвязи (далее - ресурсы сети электросвязи), для сетей электросвязи специального назначения.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настоящего Порядка распространяется на деятельность всех операторов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 ресурсами сети электросвязи понимаются технологические возможности сетей электросвязи, входящих в состав единой сети электросвязи Приднестровской Молдавской Республики, используемые для оказания услуг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Подготовка ресурсов сети электросвязи, предусмотренная настоящим Порядком, осуществляется путем выполнения операторами электросвязи работ по созданию технологических возможностей сетей электросвязи, используемых ими для оказания услуг электросвязи, для сетей электросвязи специального назначения (далее -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Использование ресурсов сети электросвязи, предусмотренное настоящим Порядком, осуществляется путем оказания операторами электросвязи услуг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Подготовка и использование ресурсов сети электросвязи осуществляются на основании государственного контракта на выполнение работ и (или) оказание услуг электросвязи, заключаемого исполнительным органом государственной власти, в ведении которого находятся сети электросвязи специального назначения (далее - спецпользователь), с оператором электросвязи (далее - государственный контракт).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Заключение государственного контракта осуществляется в соответствии с Законом Приднестровской Молдавской Республики </w:t>
      </w:r>
      <w:hyperlink r:id="rId17">
        <w:r>
          <w:rPr>
            <w:rFonts w:ascii="times new roman;times" w:hAnsi="times new roman;times"/>
            <w:sz w:val="24"/>
            <w:color w:val="0563C1"/>
            <w:u w:val="single"/>
          </w:rPr>
          <w:t xml:space="preserve">от 26 ноября 2018 года № 318-З-VI «О закупках в Приднестровской Молдавской Республике» (САЗ 18-48)</w:t>
        </w:r>
      </w:hyperlink>
      <w:r>
        <w:rPr>
          <w:rFonts w:ascii="times new roman;times" w:hAnsi="times new roman;times"/>
          <w:sz w:val="24"/>
        </w:rPr>
        <w:t xml:space="preserve">, настоящим Порядком и иными нормативными правовыми актами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Спецпользователь, ответственный за организацию сети электросвязи специального назначения, предназначенной для нужд президентской и правительственной связи, имеет первоочередное (по отношению к другим спецпользователям) право на заключение государственного контракта.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7. Спецпользователь в целях, предусмотренных настоящим Порядком, вправе заключать государственный контракт с оператором электросвязи, выполняющим для него работы и (или) оказывающим ему услуги электросвязи, согласно Закону Приднестровской Молдавской Республики </w:t>
      </w:r>
      <w:hyperlink r:id="rId17">
        <w:r>
          <w:rPr>
            <w:rFonts w:ascii="times new roman;times" w:hAnsi="times new roman;times"/>
            <w:sz w:val="24"/>
            <w:color w:val="0563C1"/>
            <w:u w:val="single"/>
          </w:rPr>
          <w:t xml:space="preserve">от 26 ноября 2018 года № 318-З-VI «О закупках в Приднестровской Молдавской Республике» (САЗ 18-48)</w:t>
        </w:r>
      </w:hyperlink>
      <w:r>
        <w:rPr>
          <w:rFonts w:ascii="times new roman;times" w:hAnsi="times new roman;times"/>
          <w:sz w:val="24"/>
        </w:rPr>
        <w:t xml:space="preserve">, в предусмотренных им случаях и с учетом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Услуги электросвязи в зависимости от их вида оказываются спецпользователю в соответствии с действующими для этих услуг правилами оказания услуг электросвязи, утвержденными Министерством цифрового развития, связи и массовых коммуникаций Приднестровской Молдавской Республики, а в случае отсутствия таковых отношения, возникающие в процессе их оказания, регулируются между оператором электросвязи и спецпользователем гражданским законодательством Приднестровской Молдавской Республики и договорными условиями, регламентами (инструкциями и положениями) оператора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Для целей формирования и размещения спецпользователем заказов на выполнение работ и (или) оказание услуг электросвязи, в том числе для целей проведения неотложных мероприятий в области государственного управления, обороны страны, безопасности государства и обеспечения правопорядка, спецпользователь обращается в Министерство цифрового развития, связи и массовых коммуникаций Приднестровской Молдавской Республики на предмет получения сведений (данных) о наличии ресурсов сетей электросвязи, относящихся к сетям электросвязи общего пользования, выделенным сетям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актуализации сведений о ресурсах единой сети электросвязи Приднестровской Молдавской Республики Министерство цифрового развития, связи и массовых коммуникаций Приднестровской Молдавской Республики вправе обратиться в адрес соответствующего оператора электросвязи за необходимой информацией о ресурсах его сетей электросвязи, в том числе о технологических возможностях его сетей электросвязи, перспективах их развития, действующих на них средствах и линиях электросвязи, условиях оказания услуг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Оператор электросвязи обязан предоставить запрашиваемые Министерством цифрового развития, связи и массовых коммуникаций Приднестровской Молдавской Республики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получения сведений о ресурсах сети электросвязи от оператора электросвязи Министерство цифрового развития, связи и массовых коммуникаций Приднестровской Молдавской Республики направляет данную информацию в адрес спецпользователя для целей заключения им государственного контракта с оператором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Переписка по вопросам получения и предоставления сведений о ресурсах сетей электросвязи операторов электросвязи должна осуществляться по каналам связи, обеспечивающим режим секретности, либо в порядке, установленном для режимно-секретного делопроизводства.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Спецпользователь при работе с полученными данными обязан обеспечить требования действующего законодательства Приднестровской Молдавской Республики, определяющие порядок допуска к сведениям, составляющим государственную, коммерческую или иную тайну.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государственном контракте предусматриваются: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порядок взаимодействия центров управления сетями электросвязи специального назначения с центрами управления сетями электросвязи оператора электросвязи (устанавливается сторонами самостоятельно и предусматривается ими в обязательном порядке в случаях, когда без регламентации такого порядка достижение целей государственного контракта становится затруднительным или невозможным);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эксплуатационно-технического обслуживания средств и линий электросвязи, используемых для оказания спецпользователю услуг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принятия сторонами мер по обеспечению устойчивого функционирования сетей электросвязи оператора электросвязи (на том уровне и с такой надежностью, которые требуются спецпользователю);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порядок оповещения спецпользователя об использовании в составе линий электросвязи радиоэлектронных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порядок изменения объемов оказания услуг электросвязи для обеспечения проведения спецпользователем неотложных мероприятий в области государственного управления, обороны страны, безопасности государства и обеспечения правопорядка;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обязательство оператора электросвязи обеспечить непрерывность оказания услуг электросвязи, в том числе при вводе в эксплуатацию новых средств и линий электросвязи, модернизации средств электросвязи, внедрении новых технологических решений и выводе из эксплуатации средств и линий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порядок приоритетного оказания спецпользователю услуг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После заключения государственного контракта спецпользователь направляет в адрес Министерства цифрового развития, связи и массовых коммуникаций Приднестровской Молдавской Республики не позднее 1 (одного) месяца со дня заключения государственного контракта следующие сведения о нем: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реквизиты государственного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стороны государственного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предмет государственного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стоимость работ и услуг, предусмотренные государственным контрактом (цена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порядок взаимодействия центра управления сети электросвязи специального назначения с центром управления сетью электросвязи оператора электросвязи (при наличии в государственном контракте соответствующего пункта).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 государственном контракте может быть предусмотрен порядок проведения для персонала узлов связи спецпользователя и персонала узлов связи оператора электросвязи совместных тренировок по проверке готовности ресурсов сети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Спецпользователь оповещает Министерство цифрового развития, связи и массовых коммуникаций Приднестровской Молдавской Республики и оператора электросвязи о намерении расторгнуть государственный контракт не менее чем за 30 (тридцать) дней до предполагаемой даты его расторжения, если иное не предусмотрено государственным контрактом.</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0%D0%B2%D0%B3%D1%83%D1%81%D1%82%D0%B0%202008%20%D0%B3%D0%BE%D0%B4%D0%B0%20%E2%84%96%C2%A0536-3-IV%20%C2%AB%D0%9E%D0%B1%20%D1%8D%D0%BB%D0%B5%D0%BA%D1%82%D1%80%D0%BE%D1%81%D0%B2%D1%8F%D0%B7%D0%B8%C2%BB%20%28%D0%A1%D0%90%D0%97%2008-34%29" TargetMode="External"/><Relationship Id="rId6" Type="http://schemas.openxmlformats.org/officeDocument/2006/relationships/hyperlink" Target="documents/search/doc-link/?q=%D0%BE%D1%82%2021%20%D1%8F%D0%BD%D0%B2%D0%B0%D1%80%D1%8F%202021%20%D0%B3%D0%BE%D0%B4%D0%B0%20%E2%84%96%C2%A012%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6%D0%B8%D1%84%D1%80%D0%BE%D0%B2%D0%BE%D0%B3%D0%BE%20%D1%80%D0%B0%D0%B7%D0%B2%D0%B8%D1%82%D0%B8%D1%8F%2C%20%D1%81%D0%B2%D1%8F%D0%B7%D0%B8%20%D0%B8%20%D0%BC%D0%B0%D1%81%D1%81%D0%BE%D0%B2%D1%8B%D1%85%20%D0%BA%D0%BE%D0%BC%D0%BC%D1%83%D0%BD%D0%B8%D0%BA%D0%B0%D1%86%D0%B8%D0%B9%20%D0%9F%D1%80%D0%B8%D0%B4%D0%BD%D0%B5%D1%81%D1%82%D1%80%D0%BE%D0%B2%D1%81%D0%BA%D0%BE%D0%B9%20%D0%9C%D0%BE%D0%BB%D0%B4%D0%B0%D0%B2%D1%81%D0%BA%D0%BE%D0%B9%20%D0%A0%D0%B5%D1%81%D0%BF%D1%83%D0%B1%D0%BB%D0%B8%D0%BA%D0%B8%C2%BB%20%28%D0%A1%D0%90%D0%97%2021-3%29" TargetMode="External"/><Relationship Id="rId7" Type="http://schemas.openxmlformats.org/officeDocument/2006/relationships/hyperlink" Target="documents/search/doc-link/?q=%D0%BE%D1%82%2021%20%D1%8F%D0%BD%D0%B2%D0%B0%D1%80%D1%8F%202021%20%D0%B3%D0%BE%D0%B4%D0%B0%20%E2%84%96%C2%A013%20%28%D0%A1%D0%90%D0%97%2021-8%29" TargetMode="External"/><Relationship Id="rId8" Type="http://schemas.openxmlformats.org/officeDocument/2006/relationships/hyperlink" Target="documents/search/doc-link/?q=%D0%BE%D1%82%2013%20%D0%B0%D0%B2%D0%B3%D1%83%D1%81%D1%82%D0%B0%202021%20%D0%B3%D0%BE%D0%B4%D0%B0%20%E2%84%96%C2%A0268%20%28%D0%A1%D0%90%D0%97%2021-33%29" TargetMode="External"/><Relationship Id="rId9" Type="http://schemas.openxmlformats.org/officeDocument/2006/relationships/hyperlink" Target="documents/search/doc-link/?q=%D0%BE%D1%82%2010%20%D0%B4%D0%B5%D0%BA%D0%B0%D0%B1%D1%80%D1%8F%202021%20%D0%B3%D0%BE%D0%B4%D0%B0%20%E2%84%96%C2%A0391%20%28%D0%A1%D0%90%D0%97%2021-50%29" TargetMode="External"/><Relationship Id="rId10" Type="http://schemas.openxmlformats.org/officeDocument/2006/relationships/hyperlink" Target="documents/search/doc-link/?q=%D0%BE%D1%82%2024%20%D0%BC%D0%B0%D1%80%D1%82%D0%B0%202022%20%D0%B3%D0%BE%D0%B4%D0%B0%20%E2%84%96%C2%A098%20%28%D0%A1%D0%90%D0%97%2022-11%29" TargetMode="External"/><Relationship Id="rId11" Type="http://schemas.openxmlformats.org/officeDocument/2006/relationships/hyperlink" Target="documents/search/doc-link/?q=%D0%BE%D1%82%202%20%D0%B4%D0%B5%D0%BA%D0%B0%D0%B1%D1%80%D1%8F%202022%20%D0%B3%D0%BE%D0%B4%D0%B0%20%E2%84%96%C2%A0449%20%28%D0%A1%D0%90%D0%97%2022-48%29" TargetMode="External"/><Relationship Id="rId12" Type="http://schemas.openxmlformats.org/officeDocument/2006/relationships/hyperlink" Target="documents/search/doc-link/?q=%D0%BE%D1%82%209%20%D0%B4%D0%B5%D0%BA%D0%B0%D0%B1%D1%80%D1%8F%202022%20%D0%B3%D0%BE%D0%B4%D0%B0%20%E2%84%96%C2%A0465%20%28%D0%A1%D0%90%D0%97%2022-48%29" TargetMode="External"/><Relationship Id="rId13" Type="http://schemas.openxmlformats.org/officeDocument/2006/relationships/hyperlink" Target="documents/search/doc-link/?q=%D0%BE%D1%82%2011%20%D0%BC%D0%B0%D1%8F%202023%20%D0%B3%D0%BE%D0%B4%D0%B0%20%E2%84%96%C2%A0157%20%28%D0%A1%D0%90%D0%97%2023-19%29" TargetMode="External"/><Relationship Id="rId14" Type="http://schemas.openxmlformats.org/officeDocument/2006/relationships/hyperlink" Target="documents/search/doc-link/?q=%D0%BE%D1%82%2031%20%D0%B0%D0%B2%D0%B3%D1%83%D1%81%D1%82%D0%B0%202023%20%D0%B3%D0%BE%D0%B4%D0%B0%20%E2%84%96%C2%A0297%20%28%D0%A1%D0%90%D0%97%2023-36%29" TargetMode="External"/><Relationship Id="rId15" Type="http://schemas.openxmlformats.org/officeDocument/2006/relationships/hyperlink" Target="documents/search/doc-link/?q=%D0%BE%D1%82%2022%20%D1%8F%D0%BD%D0%B2%D0%B0%D1%80%D1%8F%202024%20%D0%B3%D0%BE%D0%B4%D0%B0%20%E2%84%96%C2%A033%20%28%D0%A1%D0%90%D0%97%2024-5%29" TargetMode="External"/><Relationship Id="rId16" Type="http://schemas.openxmlformats.org/officeDocument/2006/relationships/hyperlink" Target="documents/search/doc-link/?q=%D0%BE%D1%82%203%20%D0%B8%D1%8E%D0%BB%D1%8F%202024%20%D0%B3%D0%BE%D0%B4%D0%B0%20%E2%84%96%C2%A0184" TargetMode="External"/><Relationship Id="rId17" Type="http://schemas.openxmlformats.org/officeDocument/2006/relationships/hyperlink" Target="documents/search/doc-link/?q=%D0%BE%D1%82%2026%20%D0%BD%D0%BE%D1%8F%D0%B1%D1%80%D1%8F%202018%20%D0%B3%D0%BE%D0%B4%D0%B0%20%E2%84%96%C2%A0318-%D0%97-VI%20%C2%AB%D0%9E%20%D0%B7%D0%B0%D0%BA%D1%83%D0%BF%D0%BA%D0%B0%D1%85%20%D0%B2%20%D0%9F%D1%80%D0%B8%D0%B4%D0%BD%D0%B5%D1%81%D1%82%D1%80%D0%BE%D0%B2%D1%81%D0%BA%D0%BE%D0%B9%20%D0%9C%D0%BE%D0%BB%D0%B4%D0%B0%D0%B2%D1%81%D0%BA%D0%BE%D0%B9%20%D0%A0%D0%B5%D1%81%D0%BF%D1%83%D0%B1%D0%BB%D0%B8%D0%BA%D0%B5%C2%BB%20%28%D0%A1%D0%90%D0%97%2018-4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1212</Words>
  <Characters>9254</Characters>
  <CharactersWithSpaces>10491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