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июня 2020 года № 406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Положений о проведении республиканского конкурса по номинациям: «Лучшая транспортная организация года в области перевозок пассажиров и багажа», «Лучшая транспортная организация года в области перевозок грузов», «Лучшая транспортная организация в области таксомоторных перевозок пассажиров и багажа автомобильным транспортом», «Лучший водитель года в области коммерческих перевозок» (САЗ 20-29)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НП «Ассоциация транспортников и дорожников Приднестровья»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2020 года № 406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Положений о проведении республиканского конкурса по номинациям: «Лучшая транспортная организация года в области перевозок пассажиров и багажа», «Лучшая транспортная организация года в области перевозок грузов», «Лучшая транспортная организация в области таксомоторных перевозок пассажиров и багажа автомобильным транспортом», «Лучший водитель года в области коммерческих перевозок» (САЗ 20-29)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3 Приказа слова «Управления транспорта» заменить словами «Государственной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№ 1 к Приказу изложить в редакции согласно Приложению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а) пункта 6 Приложения № 2 к Приказу слова «управления транспорта» заменить словами «Государственной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подпункте б) пункта 6 Приложения № 2 к Приказу слова «управления транспорта» заменить словами «Государственной службы транспорта и надзора за транспортной деятельностью - начальник Управления транспорта 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1) подпункта в) пункта 6 Приложения № 2 к Приказу слова «Управления транспорта» заменить словами «Государственной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подпункте а) пункта 6 Приложения № 3 к Приказу слова «управления транспорта» заменить словами «Государственной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подпункте б) пункта 6 Приложения № 3 к Приказу слова «управления транспорта» заменить словами «Государственной службы транспорта и надзора за транспортной деятельностью - начальник Управления транспорта 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подпункте 1) подпункта в) пункта 6 Приложения № 3 к Приказу слова «Управления транспорта» заменить словами «Государственной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подпункте а) пункта 6 Приложения № 4 к Приказу слова «управления транспорта» заменить словами «Государственной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подпункте б) пункта 6 Приложения № 4 к Приказу слова «управления транспорта» заменить словами «Государственной службы транспорта и надзора за транспортной деятельностью - начальник Управления транспорта Государственной службы транспорта и надзора за транспортной деятельностью»;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подпункте 1) подпункта в) пункта 6 Приложения № 4 к Приказу слова «Управления транспорта» заменить словами «Государственной службы транспорта и надзора за транспортной деятельностью».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реализацию настоящего Приказа возложить на начальника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699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22 июля 2024 года № 699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июня 2020 года № 406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проведении республиканского конкурса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«Лучшая транспортная организация года в области перевозок пассажиров и багажа»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Настоящее Положение устанавливает порядок проведения конкурса «Лучшая транспортная организация года в области перевозок пассажиров и багажа» (далее – конкурс).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Конкурс проводится среди всех транспортных организаций Приднестровской Молдавской Республики, независимо от их организационно-правовой формы собственности, по результатам их деятельности за прошедший год по следующим категориям: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городские перевозки;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пригородные перевозки;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междугородные перевозки;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международные перевозки.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Цели конкурса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Целью проведения конкурса является: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выявление, поощрение, популяризация и распространение передового опыта в сфере транспорта организаций, наиболее эффективно действующих в настоящих экономических условиях;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обеспечение положительной динамики развития транспортной отрасли;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определение способности организации обеспечить требуемое качество транспортного обслуживания;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оценка состояния условий труда работников, обеспечения техники безопасности производственных процессов, культуры производства;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повышение престижа транспортной отрасли через средства массовой информации.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Организация и проведение конкурса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Конкурс проводится в период с 10 сентября по 10 октября текущего года по следующим производственно-финансовым показателям деятельности транспортных организаций: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выполнение основных показателей деятельности организации в денежных и натуральных показателях;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квалификационный уровень работников, состояние охраны труда и социальные результаты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состояние материально-технической базы, внедрение в деятельность передовых и прогрессивных технологий при выполнении транспортного обслуживания;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отсутствие нарушений налогового и транспортного законодательства, нарушений в области безопасности дорожного движения.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Для организации, подготовки и проведения, принятия решения о победителях конкурса (по категориям) создаётся конкурсная комиссия на основании Приказа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Состав конкурсной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председатель конкурсной комиссии – начальник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заместитель председателя конкурсной комиссии – заместитель начальника Государственной службы транспорта и надзора за транспортной деятельностью - начальник Управления транспорта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члены конкурсной комиссии: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представители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представитель Государственной администрации города Тирасполь и города Днестровск;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представитель Государственной администрации города Бендеры;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представитель Государственной администрации Каменского района и города Каменка;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представитель Государственной администрации Рыбницкого района и города Рыбница;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представитель Государственной администрации Дубоссарского района и города Дубоссары;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представитель Государственной администрации Григориопольского района и города Григориополь;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представитель Государственной администрации Слободзейского района и города Слободзея;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представитель Государственной администрации города Днестровск;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представитель некоммерческого партнерства «Ассоциация транспортников и дорожников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представитель оператора автомобильных перевозок (открытое акционерное общество «Автостанции Приднестровья»).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Представители соответствующих государственных администраций районов и (или) городов Приднестровской Молдавской Республики привлекаются к участию в заседаниях конкурсной комиссии в случае участия в конкурсе транспортной организации: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осуществляющей перевозки пассажиров и багажа на территории соответствующего района и (или) города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зарегистрированной на территории соответствующего района и (или) города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Конкурсная комиссия выполняет следующие функции: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обеспечивает организационную подготовку конкурса;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определяет победителей конкурса в каждой категории на основании: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отчетов, предоставляемых в адрес Министерства экономического развития Приднестровской Молдавской Республики по установленной форме согласно действующему законодательству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информации Государственной налоговой службы Министерства финансов Приднестровской Молдавской Республики, Управления Государственной автомобильной инспекции Министерства внутренних дел Приднестровской Молдавской Республики, открытого акционерного общества «Автостанции Приднестровья»;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информации транспортных организаций, дополнительно запрашиваемой Министерством экономического развития Приднестровской Молдавской Республики в случае необходимости.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оформляет и подписывает протокол о результатах конкурса;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содействует созданию информационного обеспечения проведения конкурса, консультирует по вопросам проведения конкурса.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Подведение итогов конкурса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Конкурсная комиссия подводит итоги конкурса в течение 5 (пяти) дней после его окончания.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Определение победителей конкурса в каждой категории осуществляется на основании анализа деятельности транспортной организации по производственно-финансовым показателям в соответствии с критериями оценки согласно Приложению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Победителем конкурса в каждой категории признается участник, набравший наибольшее количество баллов.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Победители конкурса в каждой категории награждаются Дипломом.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Конкурсная комиссия вправе дополнительно учреждать специальные дипломы в каждой категории.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Результаты конкурса оформляются протоколом, который подписывается председателем и членами конкурсной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Результаты конкурса публикуются в средствах массовой информации и размещаются на официальном сайте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проведении республиканского конкурса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«Лучшая транспортная организация года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области перевозок пассажиров и багажа»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Производственно-финансовые показатели транспортной организации и критерии оценки ее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6"/>
        <w:gridCol w:w="5279"/>
        <w:gridCol w:w="44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Критерии оценки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Результаты финансово-хозяйственной деятельности организации за отчетный период: а) наличие чистой прибыли; б) рост чистых активов в сравнении с соответствующим периодом прошлого год; в) наличие убытков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наличие прибыли - 5 баллов за каждые 100 000 рублей;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рост чистых активов - 5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наличие убытков - минус 10 баллов за каждые 100 000 рублей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обслуживаемых маршрутов (рейсов) транспортными организациями, зарегистрированными в Приднестровской Молдавской Республике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Один маршрут (рейс) - 1 балл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Возраст транспортных средств, обслуживающих маршруты (рейсы) (за каждую единицу транспортного средства)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до 1 года - 20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от 1 до 3 лет - 10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от 3 до 10 лет - 5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 от 10 до 15 лет - 1 балл;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 свыше 15 лет - минус 3 балла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производственно-технической базы (включая медика, механика, КТП)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собственную - 10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Выполненные регулярные автомобильные перевозки пассажиров и багажа (непрерывно, последние года)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свыше 7 лет - 15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от 5 до 7 лет - 10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от 3 до 5 лет - 5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 до 3 лет - 1 балл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Нарушения, выявленные на протяжении последних 12 (двенадцати)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налогового законодательства - минус 10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в области безопасности дорожного движения - минус 5 баллов за каждое нарушение;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транспортного законодательства - минус 5 баллов за каждое нарушение; г) отсутствуют - 15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Перевозка льготных категорий граждан за прошедший год (за каждые десять тысяч перевезенных льготников)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балла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Структура автомобильного парка (за каждую единицу транспортного средства)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за каждую собственную единицу (в том числе лизинг) - 5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за каждую привлеченную единицу - 0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Модернизация и обновление парка автотранспортной техники за счет собственных средств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за каждые 20 тысяч рублей ПМР - 1 балл;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за каждую единицу - 10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Обеспечение кадровой политики (обучение, повышение квалификации, привлечение молодых специалистов)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за каждого водителя -международника - 1 балл;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за менеджера-международника - 5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Активная работа по освещению результатов деятельности организации в средствах массовой информации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Страхование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пассажиров - 10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транспортных средств -10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Оказание благотворительной помощи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баллов за каждый случай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уборочно-моечного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комплекса: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ручная мойка (типа керхер)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механизированная мойка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за ручную мойку - 5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за механизированную мойку - 10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станции технического обслуживания (техосмотр)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Наличие ремонтных мастерских (боксов, смотровых ям и т.п.)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баллов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D%D1%8F%202020%20%D0%B3%D0%BE%D0%B4%D0%B0%20%E2%84%96%C2%A0406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9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0" Type="http://schemas.openxmlformats.org/officeDocument/2006/relationships/hyperlink" Target="documents/search/doc-link/?q=%D0%BE%D1%82%2022%20%D0%B8%D1%8E%D0%BB%D1%8F%202024%20%D0%B3%D0%BE%D0%B4%D0%B0%20%E2%84%96%C2%A069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1898</Words>
  <Characters>12883</Characters>
  <CharactersWithSpaces>14706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