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
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Утвердить основные характеристики консолидированного бюджета, </w:t>
      </w:r>
      <w:r>
        <w:rPr/>
        <w:br/>
      </w:r>
      <w:r>
        <w:rPr>
          <w:rFonts w:ascii="times new roman;times" w:hAnsi="times new roman;times"/>
          <w:sz w:val="24"/>
        </w:rPr>
        <w:t>в том числе: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доходы в сумме 3 697 107 248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предельные расходы в сумме 7 092 625 047 рублей;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предельный дефицит в сумме 3 395 517 799 рублей, или </w:t>
      </w:r>
      <w:r>
        <w:rPr/>
        <w:br/>
      </w:r>
      <w:r>
        <w:rPr>
          <w:rFonts w:ascii="times new roman;times" w:hAnsi="times new roman;times"/>
          <w:sz w:val="24"/>
        </w:rPr>
        <w:t>47,87 процента к предельному размеру расходов».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Утвердить основные характеристики республиканского бюджета, </w:t>
      </w:r>
      <w:r>
        <w:rPr/>
        <w:br/>
      </w:r>
      <w:r>
        <w:rPr>
          <w:rFonts w:ascii="times new roman;times" w:hAnsi="times new roman;times"/>
          <w:sz w:val="24"/>
        </w:rPr>
        <w:t>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доходы в сумме 2 232 671 005 рублей согласно Приложению № 1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расходы в сумме 5 523 432 017 рублей согласно Приложению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дефицит в сумме 3 290 761 012 рублей, или 59,58 процента к расходам».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а) пункта 2 статьи 2 цифровое обозначение «2 884 642 835» заменить цифровым обозначением «2 887 642 835».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статью 5 (секретно) внести изменение и дополнение (секретно).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подпункте а) части первой пункта 4 статьи 30 цифровое обозначение «27 029 069» заменить цифровым обозначением «21 134 069».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4 статьи 30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«Часть отчислений от единого социального налога на улучшение оснащенности учреждений здравоохранения медицинским оборудованием, мебельным и мягким инвентарем, а также приобретение специализированного медицинского автотранспорта и иные цели развития отрасли здравоохранения в сумме 5 895 000 рублей, полученных в 2024 году, направляется </w:t>
      </w:r>
      <w:r>
        <w:rPr/>
        <w:br/>
      </w:r>
      <w:r>
        <w:rPr>
          <w:rFonts w:ascii="times new roman;times" w:hAnsi="times new roman;times"/>
          <w:sz w:val="24"/>
        </w:rPr>
        <w:t>на мероприятия, указанные в статье 5 (секретно)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Приложении № 2 к Закону по разделу 3000: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подразделу 3001, строке 130 «Резервный фонд Президента ПМР», подстатье экономической классификации 290000 «Участие Правительства в осуществлении отдельных программ» цифровое обозначение «18 000 000» заменить цифровым обозначением «21 000 000»;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подразделу 3007, строке 113 «Мероприятия, направленные на развитие (обновление) МТБ учреждений здравоохранения», подстатье экономической классификации 240120 «Приобретение непроизводственного оборудования и предметов длительного пользования для государственных учреждений» цифровое обозначение «30 039 580» заменить цифровым обозначением «24 144 580»;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подразделу 3009, строке 126 «Резервный фонд Правительства ПМР», подстатье экономической классификации 290000 «Участие Правительства в осуществлении отдельных программ» цифровое обозначение «14 516 301» заменить цифровым обозначением «20 411 301»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В Приложении № 2.30 к Закону по строке 3.2.2 «Приобретение оборудования, предметов длительного пользования и специализированного медицинского автотранспорта (подстатья 240120)» цифровое обозначение </w:t>
      </w:r>
      <w:r>
        <w:rPr/>
        <w:br/>
      </w:r>
      <w:r>
        <w:rPr>
          <w:rFonts w:ascii="times new roman;times" w:hAnsi="times new roman;times"/>
          <w:sz w:val="24"/>
        </w:rPr>
        <w:t>«26 029 069» заменить цифровым обозначением «20 134 069»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Приложение № 2.30 к Закону дополнить строкой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5"/>
        <w:gridCol w:w="6437"/>
        <w:gridCol w:w="29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Финансирование мероприятий, указанных в статье 5 (секретно)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5 895 000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Приложении № 3.1 к Закону по строке 5 «по ссудам, займам» цифровое обозначение «3 098 747 541» заменить цифровым обозначением «3 101 747 541»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Приложение № 6 к Закону дополнить пунктом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ООО «Стройтехэксперт».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2024 год», Приложение № 2.30 «Финансирование мероприятий, направленных на развитие (обновление) материально-технической базы учреждений здравоохранения и приобретение специализированного медицинского автотранспорта, приобретение инвалидных колясок для инвалидов, протезирование льготной категории граждан (за исключением зубопротезирования), а также на выплату денежных компенсаций инвалидам за протезирование», Приложение № 3.1 «Лимит прироста внутреннего государственного долга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на 2024 год» и Приложение № 6 «Перечень государственных (муниципальных) унитарных предприятий, а также юридических лиц, в уставном капитале которых доля участия Приднестровской Молдавской Республики (муниципального образования) в совокупности превышает </w:t>
      </w:r>
      <w:r>
        <w:rPr/>
        <w:br/>
      </w:r>
      <w:r>
        <w:rPr>
          <w:rFonts w:ascii="times new roman;times" w:hAnsi="times new roman;times"/>
          <w:sz w:val="24"/>
        </w:rPr>
        <w:t xml:space="preserve">50 процентов, на закупки товаров (работ, услуг) которых требования Закона Приднестровской Молдавской Республики «О закупках в Приднестровской Молдавской Республике» не распространяются» к Закону Приднестровской Молдавской Республики «О республиканском бюджете на 2024 год» </w:t>
      </w:r>
      <w:r>
        <w:rPr/>
        <w:br/>
      </w:r>
      <w:r>
        <w:rPr>
          <w:rFonts w:ascii="times new roman;times" w:hAnsi="times new roman;times"/>
          <w:sz w:val="24"/>
        </w:rPr>
        <w:t>в соответствие со статьей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       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0A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721</Words>
  <Characters>4651</Characters>
  <CharactersWithSpaces>5416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