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и введении в действие Государственного образовательного стандарта</w:t>
      </w:r>
    </w:p>
    <w:p>
      <w:pPr>
        <w:pStyle w:val="BodyTextoutside-table"/>
        <w:bidi w:val="0"/>
        <w:spacing w:before="0" w:after="283"/>
        <w:ind w:firstLine="709" w:left="0" w:right="0"/>
        <w:jc w:val="center"/>
        <w:rPr/>
      </w:pPr>
      <w:r>
        <w:rPr>
          <w:rStyle w:val="Strong"/>
          <w:rFonts w:ascii="times new roman;times" w:hAnsi="times new roman;times"/>
          <w:sz w:val="24"/>
        </w:rPr>
        <w:t>послевузовского профессионального образования - ординатуры по специальности</w:t>
      </w:r>
    </w:p>
    <w:p>
      <w:pPr>
        <w:pStyle w:val="BodyTextoutside-table"/>
        <w:bidi w:val="0"/>
        <w:spacing w:before="0" w:after="283"/>
        <w:ind w:firstLine="709" w:left="0" w:right="0"/>
        <w:jc w:val="center"/>
        <w:rPr/>
      </w:pPr>
      <w:r>
        <w:rPr>
          <w:rStyle w:val="Strong"/>
          <w:rFonts w:ascii="times new roman;times" w:hAnsi="times new roman;times"/>
          <w:sz w:val="24"/>
        </w:rPr>
        <w:t>31.08.44 Профпатология</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Согласован:</w:t>
      </w:r>
    </w:p>
    <w:p>
      <w:pPr>
        <w:pStyle w:val="BodyTextoutside-table"/>
        <w:bidi w:val="0"/>
        <w:spacing w:before="0" w:after="283"/>
        <w:ind w:firstLine="709" w:left="0" w:right="0"/>
        <w:jc w:val="center"/>
        <w:rPr/>
      </w:pPr>
      <w:r>
        <w:rPr>
          <w:rStyle w:val="Emphasis"/>
          <w:rFonts w:ascii="times new roman;times" w:hAnsi="times new roman;times"/>
          <w:sz w:val="24"/>
        </w:rPr>
        <w:t>Министерство здравоохранения</w:t>
      </w:r>
    </w:p>
    <w:p>
      <w:pPr>
        <w:pStyle w:val="BodyTextoutside-table"/>
        <w:bidi w:val="0"/>
        <w:spacing w:before="0" w:after="283"/>
        <w:ind w:firstLine="709" w:left="0" w:right="0"/>
        <w:jc w:val="center"/>
        <w:rPr/>
      </w:pPr>
      <w:r>
        <w:rPr>
          <w:rStyle w:val="Emphasis"/>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29 февраля 2024 г.</w:t>
      </w:r>
    </w:p>
    <w:p>
      <w:pPr>
        <w:pStyle w:val="BodyTextoutside-table"/>
        <w:bidi w:val="0"/>
        <w:spacing w:before="0" w:after="283"/>
        <w:ind w:firstLine="709" w:left="0" w:right="0"/>
        <w:jc w:val="center"/>
        <w:rPr/>
      </w:pPr>
      <w:r>
        <w:rPr>
          <w:rStyle w:val="Emphasis"/>
          <w:rFonts w:ascii="times new roman;times" w:hAnsi="times new roman;times"/>
          <w:sz w:val="24"/>
        </w:rPr>
        <w:t>Регистрационный № 12317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13 апреля 2009 года № 721-З-IV «О высшем и послевузовском профессиональном образовании» (САЗ 09-16)</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9 ноября 2017 года № 307 (САЗ 17-46)</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января 2018 года № 22 (САЗ 18-5)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10 сентября 2018 года № 306 (САЗ 18-37)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октября 2019 года № 380 (САЗ 19-41)</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6 апреля 2020 года № 102 (САЗ 20-15)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13 августа 2021 года № 269 (САЗ 21-33)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25 ноября 2022 года № 438 (САЗ 22-47)</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23 декабря 2022 года № 488 (САЗ 22-50)</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17 августа 2023 года № 270 (САЗ 23-33)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октября 2023 года № 342 (САЗ 23-41)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января 2024 года № 54 (САЗ 24-6)</w:t>
        </w:r>
      </w:hyperlink>
      <w:r>
        <w:rPr>
          <w:rFonts w:ascii="times new roman;times" w:hAnsi="times new roman;times"/>
          <w:sz w:val="24"/>
        </w:rPr>
        <w:t xml:space="preserve">, Постановлением Правительства Приднестровской Молдавской Республики </w:t>
      </w:r>
      <w:hyperlink r:id="rId20">
        <w:r>
          <w:rPr>
            <w:rFonts w:ascii="times new roman;times" w:hAnsi="times new roman;times"/>
            <w:sz w:val="24"/>
            <w:color w:val="0563C1"/>
            <w:u w:val="single"/>
          </w:rPr>
          <w:t xml:space="preserve">от 30 мая 2016 года № 125 «Об утверждении Порядка разработки, утверждения государственных образовательных стандартов и внесения в них изменений» (САЗ 16-22)</w:t>
        </w:r>
      </w:hyperlink>
      <w:r>
        <w:rPr>
          <w:rFonts w:ascii="times new roman;times" w:hAnsi="times new roman;times"/>
          <w:sz w:val="24"/>
        </w:rPr>
        <w:t xml:space="preserve">, Приказом Министерства просвещения Приднестровской Молдавской Республики </w:t>
      </w:r>
      <w:hyperlink r:id="rId21">
        <w:r>
          <w:rPr>
            <w:rFonts w:ascii="times new roman;times" w:hAnsi="times new roman;times"/>
            <w:sz w:val="24"/>
            <w:color w:val="0563C1"/>
            <w:u w:val="single"/>
          </w:rPr>
          <w:t xml:space="preserve">от 19 декабря 2017 года № 1413 «О профессиях, специальностях, направлениях подготовки начального, среднего, высшего и послевузовского профессионального образования» (САЗ 18-4)</w:t>
        </w:r>
      </w:hyperlink>
      <w:r>
        <w:rPr>
          <w:rFonts w:ascii="times new roman;times" w:hAnsi="times new roman;times"/>
          <w:sz w:val="24"/>
        </w:rPr>
        <w:t xml:space="preserve"> с изменениями и дополнениями, внесенными приказами Министерства просвещения Приднестровской Молдавской Республики </w:t>
      </w:r>
      <w:hyperlink r:id="rId22">
        <w:r>
          <w:rPr>
            <w:rFonts w:ascii="times new roman;times" w:hAnsi="times new roman;times"/>
            <w:sz w:val="24"/>
            <w:color w:val="0563C1"/>
            <w:u w:val="single"/>
          </w:rPr>
          <w:t xml:space="preserve">от 26 июля 2018 года № 698 (САЗ 18-32)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9 октября 2019 года № 875 (САЗ 19-46)</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19 мая 2020 года № 450 (САЗ 20-23)</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апреля 2022 года № 317 (САЗ 22-15)</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16 июня 2022 года № 549 (САЗ 22-27)</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29 декабря 2022 года № 1172 (САЗ 23-8)</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17 мая 2023 года № 497 (САЗ 23-22)</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Государственный образовательный стандарт послевузовского профессионального образования - ординатуры по специальности 31.08.44 Профпатология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center"/>
        <w:rPr/>
      </w:pPr>
      <w:r>
        <w:rPr/>
        <w:t> </w:t>
      </w:r>
    </w:p>
    <w:p>
      <w:pPr>
        <w:pStyle w:val="BodyTextoutside-table"/>
        <w:bidi w:val="0"/>
        <w:spacing w:before="0" w:after="283"/>
        <w:ind w:hanging="0" w:left="0" w:right="0"/>
        <w:jc w:val="center"/>
        <w:rPr/>
      </w:pPr>
      <w:r>
        <w:rPr/>
        <w:t> </w:t>
      </w:r>
    </w:p>
    <w:p>
      <w:pPr>
        <w:pStyle w:val="BodyTextoutside-table"/>
        <w:bidi w:val="0"/>
        <w:spacing w:before="0" w:after="283"/>
        <w:ind w:hanging="0"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Министр                                                                                              С. ИВАНИШИНА</w:t>
      </w:r>
    </w:p>
    <w:p>
      <w:pPr>
        <w:pStyle w:val="BodyTextoutside-table"/>
        <w:bidi w:val="0"/>
        <w:spacing w:before="0" w:after="283"/>
        <w:ind w:firstLine="709" w:left="0" w:right="0"/>
        <w:jc w:val="left"/>
        <w:rPr/>
      </w:pPr>
      <w:r>
        <w:rPr>
          <w:rStyle w:val="Strong"/>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февраля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просвещения</w:t>
      </w:r>
    </w:p>
    <w:p>
      <w:pPr>
        <w:pStyle w:val="BodyTextoutside-table"/>
        <w:bidi w:val="0"/>
        <w:spacing w:before="0" w:after="283"/>
        <w:ind w:firstLine="709" w:left="0" w:right="0"/>
        <w:jc w:val="right"/>
        <w:rPr/>
      </w:pPr>
      <w:r>
        <w:rPr/>
        <w:t> </w:t>
      </w: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9">
        <w:r>
          <w:rPr>
            <w:rFonts w:ascii="times new roman;times" w:hAnsi="times new roman;times"/>
            <w:sz w:val="20"/>
            <w:color w:val="0563C1"/>
            <w:u w:val="single"/>
          </w:rPr>
          <w:t xml:space="preserve">от 26 февраля 2024 года № 168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Государственный образовательный стандарт послевузовского профессионального образования - ординатуры по специальности 31.08.44 Профпатология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Область применения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Настоящий Государственный образовательный стандарт представляет собой совокупность требований, обязательных при реализации образовательной программы ординатуры по специальности 31.08.44 Профпатология (далее соответственно - программа ординатуры, специальность).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Используемые сокращения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настоящем Государственном образовательном стандарте используются следующие сокращения: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УК - универсальные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ПК - профессиональные компетенции;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ГОС - государственный образовательный стандарт;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сетевая форма - сетевая форма реализации образовательных программ;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з.е. – зачетная единица, которая соответствует 36 (тридцати шести) академическим часам или 27 (двадцати семи) астрономическим часам.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Характеристика специальности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Обучение по программе ординатуры в организациях образования (далее - организация) осуществляется в очной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Объем программы ординатуры составляет 120 з.е., вне зависимости от применяемых образовательных технологий, реализации программы ординатуры с использованием сетевой формы, реализации программы ординатуры по индивидуальному учебному плану, в том числе ускоренному обучению.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Срок получения образования по программе ординатуры, включая каникулы, предоставляемые после прохождения итоговой государственной аттестации, вне зависимости от применяемых образовательных технологий, составляет 2 (два) года.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Объем программы ординатуры, реализуемый за 1 (один) учебный год, составляет 60 з.е. При обучении по индивидуальному учебному плану срок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учебному плану лиц с ограниченными возможностями здоровья организация вправе продлить срок не более чем на 1 (один) год по сравнению со сроком, установленным для соответствующей формы обучения. Объем программы ординатуры за 1 (один) учебный год при обучении по индивидуальному учебному плану не может составлять более 75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Организация вправе применять электронное обучение и дистанционные образовательные технологии при реализации программы ординатуры, за исключением практической подготовки обучающихся.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Реализация программы ординатуры возможна с использованием сетевой формы.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Характеристика профессиональной деятельности выпускников, освоивших программу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Область профессиональной деятельности выпускников, освоивших программу ординатуры, включает охрану здоровья граждан путем оказания высококвалифицированной медицинской помощи в соответствии с установленными требованиями и стандартами в сфере здравоохранения.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Объектами профессиональной деятельности выпускников, освоивших программу ординатуры,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физические лица (далее - пациенты) в возрасте от 15 до 18 лет (далее - подростки) и в возрасте старше 18 лет (далее - взрослые);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население;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совокупность средств и технологий, направленных на создание условий для охраны здоровья граждан.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Виды профессиональной деятельности, к которым готовятся выпускники, освоившие программу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Программа ординатуры направлена на освоение всех видов профессиональной деятельности, к которым готовится выпускник.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Выпускник, освоивший программу ординатуры, готов решать следующие профессиональные задачи: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предупреждение возникновения заболеваний среди населения путем проведения профилактических и противоэпидемических мероприятий;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проведение профилактических медицинских осмотров, диспансеризации, диспансерного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сбора и медико-статистического анализа информации о показателях здоровья населения различных возрастно-половых групп, характеризующих состояние их здоровья;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диагностика заболеваний и патологических состояний пациентов на основе владения пропедевтическими, лабораторными, инструментальными и иными методами исследования;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диагностика неотложных состояний;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диагностика беременности;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проведение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оказание специализированной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участие в оказании скорой медицинской помощи при состояниях, требующих срочного медицинского вмешательства;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оказание медицинской помощи при чрезвычайных ситуациях, в том числе участие в медицинской эвакуации;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проведение медицинской реабилитации и санаторно-курортного лечения;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формирование у населения, пациентов и членов их семей мотивации, направленной на сохранение и укрепление своего здоровья и здоровья окружающих;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применение основных принципов организации оказания медицинской помощи в медицинских организациях и их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организация и управление деятельностью медицинских организаций и их структурных подразделений;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организация проведения медицинской экспертизы;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организация оценки качества оказания медицинской помощи пациентам;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ведение учетно-отчетной документации в медицинской организации и ее структурных подразделениях;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соблюдение основных требований информационной безопасности.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Требования к результатам освоения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результате освоения программы ординатуры у выпускника должны быть сформированы универсальные и профессиональные компетенции.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Выпускник, освоивший программу ординатуры, должен обладать следующими универсальными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готовностью к абстрактному мышлению, анализу, синтезу - УК1;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готовностью к управлению коллективом, толерантно воспринимать социальные, этнические, конфессиональные и культурные различия - УК2.</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Выпускник, освоивший программу ординатуры, должен обладать профессиональными компетенциями: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профилактическая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осуществлению комплекса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раннюю диагностику,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 - ПК1;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проведению профилактических медицинских осмотров, диспансеризации и осуществлению диспансерного наблюдения за здоровыми и хроническими больными - ПК2;</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готовность к проведению противоэпидемических мероприятий, организации защиты населения в очагах особо опасных инфекций, при ухудшении радиационной обстановки, стихийных бедствиях и иных чрезвычайных ситуациях - ПК3;</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готовность к применению социально-гигиенических методик сбора и медико-статистического анализа информации о показателях здоровья взрослых и подростков - ПК4;</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диагностическая деятельность - готовность к определению у пациентов патологических состояний, симптомов, синдромов заболеваний, нозологических форм в соответствии с Международной статистической классификацией болезней и проблем, связанных со здоровьем - ПК5;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лечебная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ведению и лечению пациентов с профессиональными заболеваниями - ПК6;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оказанию медицинской помощи при чрезвычайных ситуациях, в том числе участию в медицинской эвакуации - ПК7;</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реабилитационная деятельность - готовностью к применению природных лечебных факторов, лекарственной, немедикаментозной терапии и других методов у пациентов, нуждающихся в медицинской реабилитации и санаторно-курортном лечении - ПК8;</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психолого-педагогическая деятельность -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 ПК9;</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организационно-управленческая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готовность к применению основных принципов организации и управления в сфере охраны здоровья граждан в медицинских организациях и их структурных подразделениях - ПК10;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готовность к участию в оценке качества оказания медицинской помощи с использованием основных медико-статистических показателей - ПК11.</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При разработке программы ординатуры все универсальные и профессиональные компетенции включаются в набор требуемых результатов освоения программы ординатуры.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При разработке программы ординатуры организация вправе дополнить набор компетенций выпускников в части программы, формируемой участниками образовательных отношений.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При разработке программы ординатуры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Требования к структуре программы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Структура программы ординатуры согласно Приложению к настоящему ГОС включает обязательную часть (базовую) и часть, формируемую участниками образовательных отношений (вариативную).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Программа ординатуры состоит из следующих блоков: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 18-32 з.е. (базовая часть: 14 - 24 з.е., вариативная часть: 4-9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Блок 2 «Практики», относящийся к базовой части программы: 85 - 99 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Блок 3 «Государственная итоговая аттестация», который в полном объеме относится к базовой части программы и завершается присвоением квалификации «Врач-профпатолог»: 3 з.е. (базовая часть: 3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Общий объем образовательной программы ординатуры составляет 120 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Дисциплины (модули), относящиеся к базовой части программы ординатуры, являются обязательными для освоения обучающимся. Набор дисциплин (модулей), относящихся к базовой части программы ординатуры, организация определяет самостоятельно в объеме, установленном настоящим ГОС, с учетом соответствующей (соответствующих) примерной (примерных) основной (основных) образовательной (образовательных) программы (программ) (при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Дисциплины (модули) по общественному здоровью и здравоохранению, педагогике, патологии реализуются в рамках базовой части Блока 1 «Дисциплины (модули)» программы ординатуры. Объем, содержание и порядок реализации указанных дисциплин (модулей) определяются организацией самостоятельно.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Дисциплины (модули), относящиеся к вариативной части программы ординатуры, и практики, обеспечивают освоение выпускником профессиональных компетенций с учетом конкретного вида (видов) деятельности в различных медицинских организациях.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Набор дисциплин (модулей), относящихся к вариативной части программы ординатуры, организация определяет самостоятельно в объеме, установленном настоящим ГОС.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выбора обучающимся дисциплин (модулей) и практик вариативной части они становятся обязательными для освоения обучающимся.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Блок 2 «Практики» входит производственная (клиническая) практика. Способы проведения производственной (клинической) практики: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стационарная;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выездная.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Практика реализуется в медицинских организациях, являющимися клиническими (учебными) базами, на основании заключенного договора между организацией образования и медицинской организацией, путем участия ординатора в оказании медицинской помощи гражданам в соответствии с программой ординатуры под контролем медицинского персонала, несущего ответственность за их профессиональную подготовку. Для лиц с ограниченными возможностями здоровья выбор мест прохождения практик должен учитывать состояние здоровья и требования по доступности.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 Блок 3 «Государственная итоговая аттестация» входит подготовка и сдача государственного экзамена.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При разработке программы ординатуры обучающимся обеспечивается возможность освоения дисциплин (модулей) по выбору, в том числе освоения специализированных адаптационных дисциплин (модулей) для лиц с ограниченными возможностями здоровья в объеме не менее 30 процентов от объема вариативной части Блока 1 «Дисциплины (модули)».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Количество часов, отведенных на занятия лекционного типа в целом по Блоку 1 «Дисциплины (модули)» должно составлять не менее 15 процентов от общего количества часов аудиторных занятий, отведенных на реализацию данного Блока.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Требования к условиям реализации программ ординатуры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Общесистемные требования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предусмотренной учебным планом;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Электронно-библиотечная система (электронная библиотека) и электронная информационно-образовательная среда должна обеспечивать возможность доступа, обучающегося из любой точки, в которой имеется доступ к глобальной сети «Интернет», как на территории организации, так и вне 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Электронная информационно-образовательная среда организации должна обеспечивать: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фиксацию хода образовательного процесса, результатов промежуточной аттестации и результатов освоения основной образовательной программы;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взаимодействие между участниками образовательного процесса, в том числе синхронное и (или) асинхронное взаимодействие посредством глобальной сети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случае реализации программы ординатуры в сетевой форме требования к реализации программы ординатуры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ординатуры в сетевой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случае реализации программы ординатуры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ординатуры должны обеспечиваться совокупностью ресурсов указанных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квалификация руководящих и научно-педагогических работников организации должна соответствовать квалификационным характеристикам, установленным квалификационными требованиями к работникам образования согласно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Требования к кадровым условиям реализации программ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реализация программы ординатуры обеспечивается руководящими и научно-педагогическими работниками организации, а также лицами, привлекаемыми к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Приднестровской Молдавской Республики) и (или) ученое звание (в том числе ученое звание, полученное за рубежом и признаваемое в Приднестровской Молдавской Республики), и (или) имеющих высшую профессиональную категорию врача-специалиста в общем числе научно-педагогических работников, реализующих программу ординатуры, должна быть не менее 55 процентов.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Минимально необходимый для реализации программы ординатуры перечень материально-технического и учебно-методического обеспечения включает в себя специально оборудованные помещения для проведения учебных занятий,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аудитории, оборудованные мультимедийными и иными средствами обучения, позволяющими использовать симуляционные технологии, с типовыми наборами профессиональных моделей и результатов лабораторных и инструментальных исследований в количестве, позволяющем обучающимся осваивать умения и навыки, предусмотренные профессиональной деятельностью, индивидуально;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помещения, предусмотренные для оказания медицинской помощи пациентам, в том числе связанные с медицинскими вмешательствами, оснащенные специализированным оборудованием и (или) медицинскими изделиями (тонометр, стетоскоп, фонендоскоп, термометр, медицинские весы, ростомер, противошоковый набор, набор и укладка для экстренных профилактических и лечебных мероприятий) и расходным материалом в количестве, позволяющем обучающимся осваивать умения и навыки, предусмотренные профессиональной деятельностью индивидуально, а также иное оборудование, необходимое для реализации программы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Помещения для самостоятельной работы обучающихся должны быть оснащены компьютерной техникой с возможностью подключения к глобальной сети Интернет и обеспечением доступа в электронную информационно-образовательную среду организации.</w:t>
      </w:r>
    </w:p>
    <w:p>
      <w:pPr>
        <w:pStyle w:val="BodyTextoutside-table"/>
        <w:bidi w:val="0"/>
        <w:spacing w:before="0" w:after="283"/>
        <w:ind w:firstLine="709" w:left="0" w:right="0"/>
        <w:jc w:val="left"/>
        <w:rPr/>
      </w:pPr>
      <w:r>
        <w:rPr/>
        <w:t> </w:t>
      </w:r>
      <w:r>
        <w:rPr>
          <w:rFonts w:ascii="times new roman;times" w:hAnsi="times new roman;times"/>
          <w:sz w:val="24"/>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 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Организация должна быть обеспечена необходимым комплектом программного обеспечения (состав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ординатуры;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Государственному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образовательному стандарту послевузовского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профессионального образования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 специальности 31.08.44 Профпатология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Структура программы ординатуры</w:t>
      </w:r>
    </w:p>
    <w:p>
      <w:pPr>
        <w:pStyle w:val="BodyTextoutside-table"/>
        <w:bidi w:val="0"/>
        <w:spacing w:before="0" w:after="283"/>
        <w:ind w:firstLine="709" w:left="0" w:right="0"/>
        <w:jc w:val="left"/>
        <w:rPr/>
      </w:pPr>
      <w:r>
        <w:rPr/>
        <w:t> </w:t>
      </w:r>
    </w:p>
    <w:tbl>
      <w:tblPr>
        <w:tblW w:w="5000" w:type="pct"/>
        <w:jc w:val="center"/>
        <w:tblInd w:w="0" w:type="dxa"/>
        <w:tblLayout w:type="fixed"/>
        <w:tblCellMar>
          <w:top w:w="28" w:type="dxa"/>
          <w:left w:w="28" w:type="dxa"/>
          <w:bottom w:w="28" w:type="dxa"/>
          <w:right w:w="28" w:type="dxa"/>
        </w:tblCellMar>
      </w:tblPr>
      <w:tblGrid>
        <w:gridCol w:w="895"/>
        <w:gridCol w:w="4520"/>
        <w:gridCol w:w="4395"/>
      </w:tblGrid>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Структура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 в з.е.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Дисциплины (модули)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18-32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14-24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Вариативная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4-9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Практики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85-99</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Блок 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Государственная итоговая аттестация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Базовая часть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Объём программы ординатуры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120</w:t>
            </w:r>
          </w:p>
        </w:tc>
      </w:tr>
    </w:tbl>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13%20%D0%B0%D0%BF%D1%80%D0%B5%D0%BB%D1%8F%202009%20%D0%B3%D0%BE%D0%B4%D0%B0%20%E2%84%96%20721-%D0%97-IV%20%C2%AB%D0%9E%20%D0%B2%D1%8B%D1%81%D1%88%D0%B5%D0%BC%20%D0%B8%20%D0%BF%D0%BE%D1%81%D0%BB%D0%B5%D0%B2%D1%83%D0%B7%D0%BE%D0%B2%D1%81%D0%BA%D0%BE%D0%BC%20%D0%BF%D1%80%D0%BE%D1%84%D0%B5%D1%81%D1%81%D0%B8%D0%BE%D0%BD%D0%B0%D0%BB%D1%8C%D0%BD%D0%BE%D0%BC%20%D0%BE%D0%B1%D1%80%D0%B0%D0%B7%D0%BE%D0%B2%D0%B0%D0%BD%D0%B8%D0%B8%C2%BB%20%28%D0%A1%D0%90%D0%97%2009-16%29" TargetMode="External"/><Relationship Id="rId7" Type="http://schemas.openxmlformats.org/officeDocument/2006/relationships/hyperlink" Target="documents/search/doc-link/?q=%D0%BE%D1%82%2026%20%D0%BC%D0%B0%D1%8F%202017%20%D0%B3%D0%BE%D0%B4%D0%B0%20%E2%84%96%20113%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1%80%D0%BE%D1%81%D0%B2%D0%B5%D1%89%D0%B5%D0%BD%D0%B8%D1%8F%20%D0%9F%D1%80%D0%B8%D0%B4%D0%BD%D0%B5%D1%81%D1%82%D1%80%D0%BE%D0%B2%D1%81%D0%BA%D0%BE%D0%B9%20%D0%9C%D0%BE%D0%BB%D0%B4%D0%B0%D0%B2%D1%81%D0%BA%D0%BE%D0%B9%20%D0%A0%D0%B5%D1%81%D0%BF%D1%83%D0%B1%D0%BB%D0%B8%D0%BA%D0%B8%C2%BB%20%28%D0%A1%D0%90%D0%97%2017-23%29" TargetMode="External"/><Relationship Id="rId8" Type="http://schemas.openxmlformats.org/officeDocument/2006/relationships/hyperlink" Target="documents/search/doc-link/?q=%D0%BE%D1%82%209%20%D0%BD%D0%BE%D1%8F%D0%B1%D1%80%D1%8F%202017%20%D0%B3%D0%BE%D0%B4%D0%B0%20%E2%84%96%20307%20%28%D0%A1%D0%90%D0%97%2017-46%29" TargetMode="External"/><Relationship Id="rId9" Type="http://schemas.openxmlformats.org/officeDocument/2006/relationships/hyperlink" Target="documents/search/doc-link/?q=%D0%BE%D1%82%2025%20%D1%8F%D0%BD%D0%B2%D0%B0%D1%80%D1%8F%202018%20%D0%B3%D0%BE%D0%B4%D0%B0%20%E2%84%96%2022%20%28%D0%A1%D0%90%D0%97%2018-5%29" TargetMode="External"/><Relationship Id="rId10" Type="http://schemas.openxmlformats.org/officeDocument/2006/relationships/hyperlink" Target="documents/search/doc-link/?q=%D0%BE%D1%82%2010%20%D1%81%D0%B5%D0%BD%D1%82%D1%8F%D0%B1%D1%80%D1%8F%202018%20%D0%B3%D0%BE%D0%B4%D0%B0%20%E2%84%96%20306%20%28%D0%A1%D0%90%D0%97%2018-37%29" TargetMode="External"/><Relationship Id="rId11" Type="http://schemas.openxmlformats.org/officeDocument/2006/relationships/hyperlink" Target="documents/search/doc-link/?q=%D0%BE%D1%82%2023%20%D0%BE%D0%BA%D1%82%D1%8F%D0%B1%D1%80%D1%8F%202019%20%D0%B3%D0%BE%D0%B4%D0%B0%20%E2%84%96%20380%20%28%D0%A1%D0%90%D0%97%2019-41%29" TargetMode="External"/><Relationship Id="rId12" Type="http://schemas.openxmlformats.org/officeDocument/2006/relationships/hyperlink" Target="documents/search/doc-link/?q=%D0%BE%D1%82%206%20%D0%B0%D0%BF%D1%80%D0%B5%D0%BB%D1%8F%202020%20%D0%B3%D0%BE%D0%B4%D0%B0%20%E2%84%96%20102%20%28%D0%A1%D0%90%D0%97%2020-15%29" TargetMode="External"/><Relationship Id="rId13" Type="http://schemas.openxmlformats.org/officeDocument/2006/relationships/hyperlink" Target="documents/search/doc-link/?q=%D0%BE%D1%82%2013%20%D0%B0%D0%B2%D0%B3%D1%83%D1%81%D1%82%D0%B0%202021%20%D0%B3%D0%BE%D0%B4%D0%B0%20%E2%84%96%20269%20%28%D0%A1%D0%90%D0%97%2021-33%29" TargetMode="External"/><Relationship Id="rId14" Type="http://schemas.openxmlformats.org/officeDocument/2006/relationships/hyperlink" Target="documents/search/doc-link/?q=%D0%BE%D1%82%2031%20%D0%B0%D0%B2%D0%B3%D1%83%D1%81%D1%82%D0%B0%202021%20%D0%B3%D0%BE%D0%B4%D0%B0%20%E2%84%96%20286%20%28%D0%A1%D0%90%D0%97%2021-35%29" TargetMode="External"/><Relationship Id="rId15" Type="http://schemas.openxmlformats.org/officeDocument/2006/relationships/hyperlink" Target="documents/search/doc-link/?q=%D0%BE%D1%82%2025%20%D0%BD%D0%BE%D1%8F%D0%B1%D1%80%D1%8F%202022%20%D0%B3%D0%BE%D0%B4%D0%B0%20%E2%84%96%20438%20%28%D0%A1%D0%90%D0%97%2022-47%29" TargetMode="External"/><Relationship Id="rId16" Type="http://schemas.openxmlformats.org/officeDocument/2006/relationships/hyperlink" Target="documents/search/doc-link/?q=%D0%BE%D1%82%2023%20%D0%B4%D0%B5%D0%BA%D0%B0%D0%B1%D1%80%D1%8F%202022%20%D0%B3%D0%BE%D0%B4%D0%B0%20%E2%84%96%20488%20%28%D0%A1%D0%90%D0%97%2022-50%29" TargetMode="External"/><Relationship Id="rId17" Type="http://schemas.openxmlformats.org/officeDocument/2006/relationships/hyperlink" Target="documents/search/doc-link/?q=%D0%BE%D1%82%2017%20%D0%B0%D0%B2%D0%B3%D1%83%D1%81%D1%82%D0%B0%202023%20%D0%B3%D0%BE%D0%B4%D0%B0%20%E2%84%96%20270%20%28%D0%A1%D0%90%D0%97%2023-33%29" TargetMode="External"/><Relationship Id="rId18" Type="http://schemas.openxmlformats.org/officeDocument/2006/relationships/hyperlink" Target="documents/search/doc-link/?q=%D0%BE%D1%82%2012%20%D0%BE%D0%BA%D1%82%D1%8F%D0%B1%D1%80%D1%8F%202023%20%D0%B3%D0%BE%D0%B4%D0%B0%20%E2%84%96%20342%20%28%D0%A1%D0%90%D0%97%2023-41%29" TargetMode="External"/><Relationship Id="rId19" Type="http://schemas.openxmlformats.org/officeDocument/2006/relationships/hyperlink" Target="documents/search/doc-link/?q=%D0%BE%D1%82%2029%20%D1%8F%D0%BD%D0%B2%D0%B0%D1%80%D1%8F%202024%20%D0%B3%D0%BE%D0%B4%D0%B0%20%E2%84%96%2054%20%28%D0%A1%D0%90%D0%97%2024-6%29" TargetMode="External"/><Relationship Id="rId20" Type="http://schemas.openxmlformats.org/officeDocument/2006/relationships/hyperlink" Target="documents/search/doc-link/?q=%D0%BE%D1%82%2030%20%D0%BC%D0%B0%D1%8F%202016%20%D0%B3%D0%BE%D0%B4%D0%B0%20%E2%84%96%20125%20%C2%AB%D0%9E%D0%B1%20%D1%83%D1%82%D0%B2%D0%B5%D1%80%D0%B6%D0%B4%D0%B5%D0%BD%D0%B8%D0%B8%20%D0%9F%D0%BE%D1%80%D1%8F%D0%B4%D0%BA%D0%B0%20%D1%80%D0%B0%D0%B7%D1%80%D0%B0%D0%B1%D0%BE%D1%82%D0%BA%D0%B8%2C%20%D1%83%D1%82%D0%B2%D0%B5%D1%80%D0%B6%D0%B4%D0%B5%D0%BD%D0%B8%D1%8F%20%D0%B3%D0%BE%D1%81%D1%83%D0%B4%D0%B0%D1%80%D1%81%D1%82%D0%B2%D0%B5%D0%BD%D0%BD%D1%8B%D1%85%20%D0%BE%D0%B1%D1%80%D0%B0%D0%B7%D0%BE%D0%B2%D0%B0%D1%82%D0%B5%D0%BB%D1%8C%D0%BD%D1%8B%D1%85%20%D1%81%D1%82%D0%B0%D0%BD%D0%B4%D0%B0%D1%80%D1%82%D0%BE%D0%B2%20%D0%B8%20%D0%B2%D0%BD%D0%B5%D1%81%D0%B5%D0%BD%D0%B8%D1%8F%20%D0%B2%20%D0%BD%D0%B8%D1%85%20%D0%B8%D0%B7%D0%BC%D0%B5%D0%BD%D0%B5%D0%BD%D0%B8%D0%B9%C2%BB%20%28%D0%A1%D0%90%D0%97%2016-22%29" TargetMode="External"/><Relationship Id="rId21" Type="http://schemas.openxmlformats.org/officeDocument/2006/relationships/hyperlink" Target="documents/search/doc-link/?q=%D0%BE%D1%82%2019%20%D0%B4%D0%B5%D0%BA%D0%B0%D0%B1%D1%80%D1%8F%202017%20%D0%B3%D0%BE%D0%B4%D0%B0%20%E2%84%96%201413%20%C2%AB%D0%9E%20%D0%BF%D1%80%D0%BE%D1%84%D0%B5%D1%81%D1%81%D0%B8%D1%8F%D1%85%2C%20%D1%81%D0%BF%D0%B5%D1%86%D0%B8%D0%B0%D0%BB%D1%8C%D0%BD%D0%BE%D1%81%D1%82%D1%8F%D1%85%2C%20%D0%BD%D0%B0%D0%BF%D1%80%D0%B0%D0%B2%D0%BB%D0%B5%D0%BD%D0%B8%D1%8F%D1%85%20%D0%BF%D0%BE%D0%B4%D0%B3%D0%BE%D1%82%D0%BE%D0%B2%D0%BA%D0%B8%20%D0%BD%D0%B0%D1%87%D0%B0%D0%BB%D1%8C%D0%BD%D0%BE%D0%B3%D0%BE%2C%20%D1%81%D1%80%D0%B5%D0%B4%D0%BD%D0%B5%D0%B3%D0%BE%2C%20%D0%B2%D1%8B%D1%81%D1%88%D0%B5%D0%B3%D0%BE%20%D0%B8%20%D0%BF%D0%BE%D1%81%D0%BB%D0%B5%D0%B2%D1%83%D0%B7%D0%BE%D0%B2%D1%81%D0%BA%D0%BE%D0%B3%D0%BE%20%D0%BF%D1%80%D0%BE%D1%84%D0%B5%D1%81%D1%81%D0%B8%D0%BE%D0%BD%D0%B0%D0%BB%D1%8C%D0%BD%D0%BE%D0%B3%D0%BE%20%D0%BE%D0%B1%D1%80%D0%B0%D0%B7%D0%BE%D0%B2%D0%B0%D0%BD%D0%B8%D1%8F%C2%BB%20%28%D0%A1%D0%90%D0%97%2018-4%29" TargetMode="External"/><Relationship Id="rId22" Type="http://schemas.openxmlformats.org/officeDocument/2006/relationships/hyperlink" Target="documents/search/doc-link/?q=%D0%BE%D1%82%2026%20%D0%B8%D1%8E%D0%BB%D1%8F%202018%20%D0%B3%D0%BE%D0%B4%D0%B0%20%E2%84%96%20698%20%28%D0%A1%D0%90%D0%97%2018-32%29" TargetMode="External"/><Relationship Id="rId23" Type="http://schemas.openxmlformats.org/officeDocument/2006/relationships/hyperlink" Target="documents/search/doc-link/?q=%D0%BE%D1%82%209%20%D0%BE%D0%BA%D1%82%D1%8F%D0%B1%D1%80%D1%8F%202019%20%D0%B3%D0%BE%D0%B4%D0%B0%20%E2%84%96%20875%20%28%D0%A1%D0%90%D0%97%2019-46%29" TargetMode="External"/><Relationship Id="rId24" Type="http://schemas.openxmlformats.org/officeDocument/2006/relationships/hyperlink" Target="documents/search/doc-link/?q=%D0%BE%D1%82%2019%20%D0%BC%D0%B0%D1%8F%202020%20%D0%B3%D0%BE%D0%B4%D0%B0%20%E2%84%96%20450%20%28%D0%A1%D0%90%D0%97%2020-23%29" TargetMode="External"/><Relationship Id="rId25" Type="http://schemas.openxmlformats.org/officeDocument/2006/relationships/hyperlink" Target="documents/search/doc-link/?q=%D0%BE%D1%82%2011%20%D0%B0%D0%BF%D1%80%D0%B5%D0%BB%D1%8F%202022%20%D0%B3%D0%BE%D0%B4%D0%B0%20%E2%84%96%20317%20%28%D0%A1%D0%90%D0%97%2022-15%29" TargetMode="External"/><Relationship Id="rId26" Type="http://schemas.openxmlformats.org/officeDocument/2006/relationships/hyperlink" Target="documents/search/doc-link/?q=%D0%BE%D1%82%2016%20%D0%B8%D1%8E%D0%BD%D1%8F%202022%20%D0%B3%D0%BE%D0%B4%D0%B0%20%E2%84%96%20549%20%28%D0%A1%D0%90%D0%97%2022-27%29" TargetMode="External"/><Relationship Id="rId27" Type="http://schemas.openxmlformats.org/officeDocument/2006/relationships/hyperlink" Target="documents/search/doc-link/?q=%D0%BE%D1%82%2029%20%D0%B4%D0%B5%D0%BA%D0%B0%D0%B1%D1%80%D1%8F%202022%20%D0%B3%D0%BE%D0%B4%D0%B0%20%E2%84%96%201172%20%28%D0%A1%D0%90%D0%97%2023-8%29" TargetMode="External"/><Relationship Id="rId28" Type="http://schemas.openxmlformats.org/officeDocument/2006/relationships/hyperlink" Target="documents/search/doc-link/?q=%D0%BE%D1%82%2017%20%D0%BC%D0%B0%D1%8F%202023%20%D0%B3%D0%BE%D0%B4%D0%B0%20%E2%84%96%20497%20%28%D0%A1%D0%90%D0%97%2023-22%29" TargetMode="External"/><Relationship Id="rId29" Type="http://schemas.openxmlformats.org/officeDocument/2006/relationships/hyperlink" Target="documents/search/doc-link/?q=%D0%BE%D1%82%2026%20%D1%84%D0%B5%D0%B2%D1%80%D0%B0%D0%BB%D1%8F%202024%20%D0%B3%D0%BE%D0%B4%D0%B0%20%E2%84%96%2016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2668</Words>
  <Characters>20231</Characters>
  <CharactersWithSpaces>22856</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