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О распределении средств Дорожного фонда</w:t>
      </w:r>
    </w:p>
    <w:p>
      <w:pPr>
        <w:pStyle w:val="BodyText"/>
        <w:bidi w:val="0"/>
        <w:spacing w:before="0" w:after="283"/>
        <w:ind w:hanging="0" w:left="0" w:right="0"/>
        <w:jc w:val="center"/>
        <w:rPr/>
      </w:pPr>
      <w:r>
        <w:rPr>
          <w:rStyle w:val="Strong"/>
          <w:rFonts w:ascii="times new roman;times" w:hAnsi="times new roman;times"/>
          <w:sz w:val="24"/>
        </w:rPr>
        <w:t>Приднестровской Молдавской Республики</w:t>
      </w:r>
    </w:p>
    <w:p>
      <w:pPr>
        <w:pStyle w:val="BodyText"/>
        <w:bidi w:val="0"/>
        <w:spacing w:before="0" w:after="283"/>
        <w:ind w:hanging="0" w:left="0" w:right="0"/>
        <w:jc w:val="center"/>
        <w:rPr/>
      </w:pPr>
      <w:r>
        <w:rPr>
          <w:rStyle w:val="Strong"/>
          <w:rFonts w:ascii="times new roman;times" w:hAnsi="times new roman;times"/>
          <w:sz w:val="24"/>
        </w:rPr>
        <w:t>на оплату потребленной электроэнергии сетей уличного освещения автомобильных дорог общего пользования</w:t>
      </w:r>
    </w:p>
    <w:p>
      <w:pPr>
        <w:pStyle w:val="BodyText"/>
        <w:bidi w:val="0"/>
        <w:spacing w:before="0" w:after="283"/>
        <w:ind w:hanging="0" w:left="0" w:right="0"/>
        <w:jc w:val="center"/>
        <w:rPr/>
      </w:pPr>
      <w:r>
        <w:rPr>
          <w:rStyle w:val="Strong"/>
          <w:rFonts w:ascii="times new roman;times" w:hAnsi="times new roman;times"/>
          <w:sz w:val="24"/>
        </w:rPr>
        <w:t>Приднестровской Молдавской Республики,</w:t>
      </w:r>
    </w:p>
    <w:p>
      <w:pPr>
        <w:pStyle w:val="BodyText"/>
        <w:bidi w:val="0"/>
        <w:spacing w:before="0" w:after="283"/>
        <w:ind w:hanging="0" w:left="0" w:right="0"/>
        <w:jc w:val="center"/>
        <w:rPr/>
      </w:pPr>
      <w:r>
        <w:rPr>
          <w:rStyle w:val="Strong"/>
          <w:rFonts w:ascii="times new roman;times" w:hAnsi="times new roman;times"/>
          <w:sz w:val="24"/>
        </w:rPr>
        <w:t>находящихся на балансе государственного унитарного предприятия</w:t>
      </w:r>
    </w:p>
    <w:p>
      <w:pPr>
        <w:pStyle w:val="BodyText"/>
        <w:bidi w:val="0"/>
        <w:spacing w:before="0" w:after="283"/>
        <w:ind w:hanging="0" w:left="0" w:right="0"/>
        <w:jc w:val="center"/>
        <w:rPr/>
      </w:pPr>
      <w:r>
        <w:rPr>
          <w:rStyle w:val="Strong"/>
          <w:rFonts w:ascii="times new roman;times" w:hAnsi="times new roman;times"/>
          <w:sz w:val="24"/>
        </w:rPr>
        <w:t>«Единые распределительные электрические сети»,</w:t>
      </w:r>
    </w:p>
    <w:p>
      <w:pPr>
        <w:pStyle w:val="BodyText"/>
        <w:bidi w:val="0"/>
        <w:spacing w:before="0" w:after="283"/>
        <w:ind w:hanging="0" w:left="0" w:right="0"/>
        <w:jc w:val="center"/>
        <w:rPr/>
      </w:pPr>
      <w:r>
        <w:rPr>
          <w:rStyle w:val="Strong"/>
          <w:rFonts w:ascii="times new roman;times" w:hAnsi="times new roman;times"/>
          <w:sz w:val="24"/>
        </w:rPr>
        <w:t>а также на организацию уличного освещения</w:t>
      </w:r>
    </w:p>
    <w:p>
      <w:pPr>
        <w:pStyle w:val="BodyText"/>
        <w:bidi w:val="0"/>
        <w:spacing w:before="0" w:after="283"/>
        <w:ind w:hanging="0" w:left="0" w:right="0"/>
        <w:jc w:val="center"/>
        <w:rPr/>
      </w:pPr>
      <w:r>
        <w:rPr>
          <w:rStyle w:val="Strong"/>
          <w:rFonts w:ascii="times new roman;times" w:hAnsi="times new roman;times"/>
          <w:sz w:val="24"/>
        </w:rPr>
        <w:t>вдоль автомобильных дорог общего пользования</w:t>
      </w:r>
    </w:p>
    <w:p>
      <w:pPr>
        <w:pStyle w:val="BodyText"/>
        <w:bidi w:val="0"/>
        <w:spacing w:before="0" w:after="283"/>
        <w:ind w:hanging="0" w:left="0" w:right="0"/>
        <w:jc w:val="center"/>
        <w:rPr/>
      </w:pPr>
      <w:r>
        <w:rPr>
          <w:rStyle w:val="Strong"/>
          <w:rFonts w:ascii="times new roman;times" w:hAnsi="times new roman;times"/>
          <w:sz w:val="24"/>
        </w:rPr>
        <w:t>Приднестровской Молдавской Республики,</w:t>
      </w:r>
    </w:p>
    <w:p>
      <w:pPr>
        <w:pStyle w:val="BodyText"/>
        <w:bidi w:val="0"/>
        <w:spacing w:before="0" w:after="283"/>
        <w:ind w:hanging="0" w:left="0" w:right="0"/>
        <w:jc w:val="center"/>
        <w:rPr/>
      </w:pPr>
      <w:r>
        <w:rPr>
          <w:rStyle w:val="Strong"/>
          <w:rFonts w:ascii="times new roman;times" w:hAnsi="times new roman;times"/>
          <w:sz w:val="24"/>
        </w:rPr>
        <w:t>находящихся в государственной и муниципальной собственности</w:t>
      </w:r>
    </w:p>
    <w:p>
      <w:pPr>
        <w:pStyle w:val="BodyText"/>
        <w:bidi w:val="0"/>
        <w:spacing w:before="0" w:after="283"/>
        <w:ind w:hanging="0"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со статьей 76-6 Конституции Приднестровской Молдавской Республики, Конституционным законом Приднестровской Молдавской Республики </w:t>
      </w:r>
      <w:hyperlink r:id="rId5">
        <w:r>
          <w:rPr>
            <w:rFonts w:ascii="times new roman;times" w:hAnsi="times new roman;times"/>
            <w:sz w:val="24"/>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4"/>
        </w:rPr>
        <w:t xml:space="preserve">, Законом Приднестровской Молдавской Республики </w:t>
      </w:r>
      <w:hyperlink r:id="rId6">
        <w:r>
          <w:rPr>
            <w:rFonts w:ascii="times new roman;times" w:hAnsi="times new roman;times"/>
            <w:sz w:val="24"/>
            <w:color w:val="0563C1"/>
            <w:u w:val="single"/>
          </w:rPr>
          <w:t xml:space="preserve">от 28 декабря 2023 года № 436-З-VII «О республиканском бюджете на 2024 год» (САЗ 24-1)</w:t>
        </w:r>
      </w:hyperlink>
      <w:r>
        <w:rPr>
          <w:rFonts w:ascii="times new roman;times" w:hAnsi="times new roman;times"/>
          <w:sz w:val="24"/>
        </w:rPr>
        <w:t xml:space="preserve">, в целях обеспечения функционирования освещения и организации уличного освещения автомобильных дорог общего пользования Приднестровской Молдавской Республики Правительство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е 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Средства Дорожного фонда Приднестровской Молдавской Республики, предусмотренные Приложением № 8 к Закону Приднестровской Молдавской Республики </w:t>
      </w:r>
      <w:hyperlink r:id="rId6">
        <w:r>
          <w:rPr>
            <w:rFonts w:ascii="times new roman;times" w:hAnsi="times new roman;times"/>
            <w:sz w:val="24"/>
            <w:color w:val="0563C1"/>
            <w:u w:val="single"/>
          </w:rPr>
          <w:t xml:space="preserve">от 28 декабря 2023 года № 436-З-VII «О республиканском бюджете на 2024 год» (САЗ 24-1)</w:t>
        </w:r>
      </w:hyperlink>
      <w:r>
        <w:rPr>
          <w:rFonts w:ascii="times new roman;times" w:hAnsi="times new roman;times"/>
          <w:sz w:val="24"/>
        </w:rPr>
        <w:t xml:space="preserve">, направляются в первоочередном порядке на оплату потребленной электроэнергии сетей уличного освещения автомобильных дорог общего пользования Приднестровской Молдавской Республики, находящихся на балансе государственного унитарного предприятия «Единые распределительные электрические сети».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Средства Дорожного фонда Приднестровской Молдавской Республики, указанные в пункте 1 настоящего Постановления, распределяются в разрезе административно-территориальных единиц по приведенной протяженности автомобильных дорог общего пользования Приднестровской Молдавской Республики с учетом коэффициента технической оснащенности сетей освещения автомобильных дорог общего пользования Приднестровской Молдавской Республики, утвержденного нормативным правовым актом Правительства Приднестровской Молдавской Республики, согласно Приложению к настоящему Постановлению и направляются на оплату потребленной электроэнергии сетей уличного освещения автомобильных дорог общего пользования Приднестровской Молдавской Республики, находящихся на балансе государственного унитарного предприятия «Единые распределительные электрические сети», в пределах лимитов потребления электрической энергии, утвержденных Приложением к настоящему Постановлению.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3. Оплата потребленной электроэнергии сетей уличного освещения автомобильных дорог общего пользования Приднестровской Молдавской Республики осуществляется на основании трехсторонних договоров оказания услуг по обеспечению функционирования освещения автомобильных дорог общего пользования Приднестровской Молдавской Республики, заключаемых государственным унитарным предприятием «Единые распределительные электрические сети» (выступающим в качестве исполнителя), государственными администрациями городов (районов) Приднестровской Молдавской Республики (выступающими в качестве заказчиков) </w:t>
      </w:r>
      <w:r>
        <w:rPr/>
        <w:br/>
      </w:r>
      <w:r>
        <w:rPr>
          <w:rFonts w:ascii="times new roman;times" w:hAnsi="times new roman;times"/>
          <w:sz w:val="24"/>
        </w:rPr>
        <w:t>и уполномоченным Правительством Приднестровской Молдавской Республики исполнительным органом государственной власти, осуществляющим функции по выработке государственной политики в области дорожного хозяйства (выступающим в качестве плательщика), в которых указываются: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перечень объектов освещения автомобильных дорог общего пользования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сумма годового лимита потребления электроэнергии, утвержденного Приложением к настоящему Постановлению, с помесячной разбивкой;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графики работы объектов освещения автомобильных дорог общего пользования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Выделение средств Дорожного фонда Приднестровской Молдавской Республики на оплату потребленной электроэнергии сетей уличного освещения автомобильных дорог общего пользования Приднестровской Молдавской Республики производится на основании ежемесячно направляемой государственным унитарным предприятием «Единые распределительные электрические сети» в адрес уполномоченного Правительством Приднестровской Молдавской Республики исполнительного органа государственной власти, осуществляющего функции по выработке государственной политики в области дорожного хозяйства, информации об объемах фактически потребленной электрической энергии и сумме финансирования, подтвержденной актом сверки взаимных расчетов между сторонами договора оказания услуг по обеспечению функционирования освещения автомобильных дорог общего пользования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Средства Дорожного фонда Приднестровской Молдавской Республики на оплату потребленной электроэнергии сетей уличного освещения автомобильных дорог общего пользования Приднестровской Молдавской Республики подлежат перечислению на специальный энергетический счет.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Ответственность за целевое расходование средств Дорожного фонда Приднестровской Молдавской Республики на оплату потребленной электроэнергии сетей уличного освещения автомобильных дорог общего пользования Приднестровской Молдавской Республики, находящихся на балансе государственного унитарного предприятия «Единые распределительные электрические сети», возложить на государственное унитарное предприятие «Единые распределительные электрические сети».</w:t>
      </w:r>
    </w:p>
    <w:p>
      <w:pPr>
        <w:pStyle w:val="BodyTextoutside-table"/>
        <w:bidi w:val="0"/>
        <w:spacing w:before="0" w:after="283"/>
        <w:ind w:firstLine="709" w:left="0" w:right="0"/>
        <w:jc w:val="left"/>
        <w:outlineLvl w:val="1"/>
        <w:rPr/>
      </w:pPr>
      <w:r>
        <w:rPr/>
        <w:t> </w:t>
      </w:r>
      <w:r>
        <w:rPr>
          <w:rFonts w:ascii="times new roman;times" w:hAnsi="times new roman;times"/>
          <w:sz w:val="24"/>
        </w:rPr>
        <w:t>5. Контроль целевого расходования средств Дорожного фонда Приднестровской Молдавской Республики на оплату потребленной электроэнергии сетей уличного освещения автомобильных дорог общего пользования Приднестровской Молдавской Республики, находящихся на балансе государственного унитарного предприятия «Единые распределительные электрические сети», возложить на уполномоченный Правительством Приднестровской Молдавской Республики исполнительный орган государственной власти, осуществляющий функции по выработке государственной политики в области дорожного хозяйства.</w:t>
      </w:r>
    </w:p>
    <w:p>
      <w:pPr>
        <w:pStyle w:val="BodyTextoutside-table"/>
        <w:bidi w:val="0"/>
        <w:spacing w:before="0" w:after="283"/>
        <w:ind w:firstLine="709" w:left="0" w:right="0"/>
        <w:jc w:val="left"/>
        <w:outlineLvl w:val="1"/>
        <w:rPr/>
      </w:pPr>
      <w:r>
        <w:rPr/>
        <w:t> </w:t>
      </w:r>
      <w:r>
        <w:rPr>
          <w:rFonts w:ascii="times new roman;times" w:hAnsi="times new roman;times"/>
          <w:sz w:val="24"/>
        </w:rPr>
        <w:t>6. Настоящее Постановление вступает в силу со дня, следующего за днем официального опубликования.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rStyle w:val="Strong"/>
          <w:rFonts w:ascii="times new roman;times" w:hAnsi="times new roman;times"/>
          <w:sz w:val="24"/>
        </w:rPr>
        <w:t>ПРЕДСЕДАТЕЛЬ  ПРАВИТЕЛЬСТВА                                           А.РОЗЕНБЕРГ</w:t>
      </w:r>
    </w:p>
    <w:p>
      <w:pPr>
        <w:pStyle w:val="BodyTextoutside-table"/>
        <w:bidi w:val="0"/>
        <w:spacing w:before="0" w:after="283"/>
        <w:ind w:hanging="0"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Постановлению Правительства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Республики</w:t>
      </w:r>
    </w:p>
    <w:p>
      <w:pPr>
        <w:pStyle w:val="BodyTextoutside-table"/>
        <w:bidi w:val="0"/>
        <w:spacing w:before="0" w:after="283"/>
        <w:ind w:firstLine="709" w:left="0" w:right="0"/>
        <w:jc w:val="right"/>
        <w:rPr>
          <w:rFonts w:ascii="times new roman;times" w:hAnsi="times new roman;times"/>
          <w:sz w:val="20"/>
        </w:rPr>
      </w:pPr>
      <w:hyperlink r:id="rId7">
        <w:r>
          <w:rPr>
            <w:rFonts w:ascii="times new roman;times" w:hAnsi="times new roman;times"/>
            <w:sz w:val="20"/>
            <w:color w:val="0563C1"/>
            <w:u w:val="single"/>
          </w:rPr>
          <w:t xml:space="preserve">от 14 марта 2024 года № 133</w:t>
        </w:r>
      </w:hyperlink>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tbl>
      <w:tblPr>
        <w:tblW w:w="5000" w:type="pct"/>
        <w:jc w:val="center"/>
        <w:tblInd w:w="0" w:type="dxa"/>
        <w:tblLayout w:type="fixed"/>
        <w:tblCellMar>
          <w:top w:w="28" w:type="dxa"/>
          <w:left w:w="28" w:type="dxa"/>
          <w:bottom w:w="28" w:type="dxa"/>
          <w:right w:w="28" w:type="dxa"/>
        </w:tblCellMar>
      </w:tblPr>
      <w:tblGrid>
        <w:gridCol w:w="379"/>
        <w:gridCol w:w="3108"/>
        <w:gridCol w:w="1551"/>
        <w:gridCol w:w="1616"/>
        <w:gridCol w:w="1616"/>
        <w:gridCol w:w="1631"/>
      </w:tblGrid>
      <w:tr>
        <w:trPr/>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16"/>
                <w:szCs w:val="16"/>
              </w:rPr>
            </w:pPr>
            <w:r>
              <w:rPr/>
              <w:t xml:space="preserve">№ </w:t>
            </w:r>
            <w:r>
              <w:rPr>
                <w:rFonts w:ascii="times new roman;times" w:hAnsi="times new roman;times"/>
                <w:sz w:val="20"/>
              </w:rPr>
              <w:t>п/п</w:t>
            </w: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Административно-территориальные единицы</w:t>
            </w:r>
          </w:p>
        </w:tc>
        <w:tc>
          <w:tcPr>
            <w:tcW w:w="0" w:type="auto"/>
            <w:gridSpan w:val="4"/>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Распределение средств Дорожного фонда в разрезе административно-территориальных единиц на оплату потребленной электроэнергии сетей уличного освещения автомобильных дорог общего пользования Приднестровской Молдавской Республики</w:t>
            </w:r>
          </w:p>
        </w:tc>
      </w:tr>
      <w:tr>
        <w:trPr/>
        <w:tc>
          <w:tcPr>
            <w:tcW w:w="379"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3108"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Доля по приведенной протяженности автомобильных дорог общего пользования Приднестровской Молдавской Республики на цели оплаты потребленной электроэнергии сетей уличного освещения автомобильных дорог</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Лимит потребления электрической энергии на освещение автомобильных дорог общего пользования Приднестровс-кой Молдавской Республики, квт.ч.</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Тариф на электричес-кую энергию, рубли Приднест-ровской Молдавской Республики за 1 квт.ч</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Распределение средств по автомобиль-ным дорогам общего пользования Приднест-ровской Молдавской Республики, рубли Приднест-ровской Молдавской Республики</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1.</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sz w:val="16"/>
                <w:szCs w:val="16"/>
              </w:rPr>
            </w:pPr>
            <w:r>
              <w:rPr>
                <w:rFonts w:ascii="times new roman;times" w:hAnsi="times new roman;times"/>
                <w:sz w:val="20"/>
              </w:rPr>
              <w:t>Государственная администрация города Тирасполя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23,31%</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2 510 416</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1,59</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3 991 562</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2.</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sz w:val="16"/>
                <w:szCs w:val="16"/>
              </w:rPr>
            </w:pPr>
            <w:r>
              <w:rPr>
                <w:rFonts w:ascii="times new roman;times" w:hAnsi="times new roman;times"/>
                <w:sz w:val="20"/>
              </w:rPr>
              <w:t>Государственная администрация города Бендеры</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18,43%</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1 985 382</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1,59</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3 156 757</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3.</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sz w:val="16"/>
                <w:szCs w:val="16"/>
              </w:rPr>
            </w:pPr>
            <w:r>
              <w:rPr>
                <w:rFonts w:ascii="times new roman;times" w:hAnsi="times new roman;times"/>
                <w:sz w:val="20"/>
              </w:rPr>
              <w:t>Государственная администрация Слободзейского района и города Слободзеи</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15,15%</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1 631 458</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1,59</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2 594 019</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4.</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sz w:val="16"/>
                <w:szCs w:val="16"/>
              </w:rPr>
            </w:pPr>
            <w:r>
              <w:rPr>
                <w:rFonts w:ascii="times new roman;times" w:hAnsi="times new roman;times"/>
                <w:sz w:val="20"/>
              </w:rPr>
              <w:t>Государственная администрация города Днестровска</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0,97%</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104 964</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1,59</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166 892</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5.</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sz w:val="16"/>
                <w:szCs w:val="16"/>
              </w:rPr>
            </w:pPr>
            <w:r>
              <w:rPr>
                <w:rFonts w:ascii="times new roman;times" w:hAnsi="times new roman;times"/>
                <w:sz w:val="20"/>
              </w:rPr>
              <w:t>Государственная администрация Григориопольского района и города Григориополя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4,89%</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526 745</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1,59</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837 524</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6.</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sz w:val="16"/>
                <w:szCs w:val="16"/>
              </w:rPr>
            </w:pPr>
            <w:r>
              <w:rPr>
                <w:rFonts w:ascii="times new roman;times" w:hAnsi="times new roman;times"/>
                <w:sz w:val="20"/>
              </w:rPr>
              <w:t>Государственная администрация Дубоссарского района и города Дубоссары</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16,08%</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1 731 708</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1,59</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2 753 415</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7.</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Государственная администрация Рыбницкого района</w:t>
            </w:r>
          </w:p>
          <w:p>
            <w:pPr>
              <w:pStyle w:val="TableContents"/>
              <w:bidi w:val="0"/>
              <w:spacing w:before="57" w:after="57"/>
              <w:ind w:hanging="0" w:left="0" w:right="0"/>
              <w:jc w:val="left"/>
              <w:rPr>
                <w:sz w:val="16"/>
                <w:szCs w:val="16"/>
              </w:rPr>
            </w:pPr>
            <w:r>
              <w:rPr>
                <w:rFonts w:ascii="times new roman;times" w:hAnsi="times new roman;times"/>
                <w:sz w:val="20"/>
              </w:rPr>
              <w:t>и города Рыбницы</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14,97%</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1 611 743</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1,59</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2 562 672</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8.</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Государственная администрация Каменского района</w:t>
            </w:r>
          </w:p>
          <w:p>
            <w:pPr>
              <w:pStyle w:val="TableContents"/>
              <w:bidi w:val="0"/>
              <w:spacing w:before="57" w:after="57"/>
              <w:ind w:hanging="0" w:left="0" w:right="0"/>
              <w:jc w:val="left"/>
              <w:rPr>
                <w:sz w:val="16"/>
                <w:szCs w:val="16"/>
              </w:rPr>
            </w:pPr>
            <w:r>
              <w:rPr>
                <w:rFonts w:ascii="times new roman;times" w:hAnsi="times new roman;times"/>
                <w:sz w:val="20"/>
              </w:rPr>
              <w:t>и города Каменки</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6,20%</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667 584</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1,59</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1 061 459</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sz w:val="16"/>
                <w:szCs w:val="16"/>
              </w:rPr>
            </w:pPr>
            <w:r>
              <w:rPr>
                <w:rFonts w:ascii="times new roman;times" w:hAnsi="times new roman;times"/>
                <w:sz w:val="20"/>
              </w:rPr>
              <w:t>Итого</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100,00%</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10 770 000</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sz w:val="16"/>
                <w:szCs w:val="16"/>
              </w:rPr>
            </w:pPr>
            <w:r>
              <w:rPr>
                <w:rFonts w:ascii="times new roman;times" w:hAnsi="times new roman;times"/>
                <w:sz w:val="20"/>
              </w:rPr>
              <w:t>17 124 300</w:t>
            </w:r>
          </w:p>
        </w:tc>
      </w:tr>
    </w:tbl>
    <w:p>
      <w:pPr>
        <w:pStyle w:val="BodyTextoutside-table"/>
        <w:bidi w:val="0"/>
        <w:spacing w:before="0" w:after="283"/>
        <w:ind w:firstLine="709" w:left="0" w:right="0"/>
        <w:jc w:val="center"/>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30%20%D0%BD%D0%BE%D1%8F%D0%B1%D1%80%D1%8F%202011%20%D0%B3%D0%BE%D0%B4%D0%B0%20%E2%84%96%20224-%D0%9A%D0%97-V%20%C2%AB%D0%9E%20%D0%9F%D1%80%D0%B0%D0%B2%D0%B8%D1%82%D0%B5%D0%BB%D1%8C%D1%81%D1%82%D0%B2%D0%B5%20%D0%9F%D1%80%D0%B8%D0%B4%D0%BD%D0%B5%D1%81%D1%82%D1%80%D0%BE%D0%B2%D1%81%D0%BA%D0%BE%D0%B9%20%D0%9C%D0%BE%D0%BB%D0%B4%D0%B0%D0%B2%D1%81%D0%BA%D0%BE%D0%B9%20%D0%A0%D0%B5%D1%81%D0%BF%D1%83%D0%B1%D0%BB%D0%B8%D0%BA%D0%B8%C2%BB%20%28%D0%A1%D0%90%D0%97%2011-48%29" TargetMode="External"/><Relationship Id="rId6" Type="http://schemas.openxmlformats.org/officeDocument/2006/relationships/hyperlink" Target="documents/search/doc-link/?q=%D0%BE%D1%82%2028%20%D0%B4%D0%B5%D0%BA%D0%B0%D0%B1%D1%80%D1%8F%202023%20%D0%B3%D0%BE%D0%B4%D0%B0%20%E2%84%96%20436-%D0%97-VII%20%C2%AB%D0%9E%20%D1%80%D0%B5%D1%81%D0%BF%D1%83%D0%B1%D0%BB%D0%B8%D0%BA%D0%B0%D0%BD%D1%81%D0%BA%D0%BE%D0%BC%20%D0%B1%D1%8E%D0%B4%D0%B6%D0%B5%D1%82%D0%B5%20%D0%BD%D0%B0%202024%20%D0%B3%D0%BE%D0%B4%C2%BB%20%28%D0%A1%D0%90%D0%97%2024-1%29" TargetMode="External"/><Relationship Id="rId7" Type="http://schemas.openxmlformats.org/officeDocument/2006/relationships/hyperlink" Target="documents/search/doc-link/?q=%D0%BE%D1%82%2014%20%D0%BC%D0%B0%D1%80%D1%82%D0%B0%202024%20%D0%B3%D0%BE%D0%B4%D0%B0%20%E2%84%96%20133"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1</Pages>
  <Words>849</Words>
  <Characters>6985</Characters>
  <CharactersWithSpaces>7806</CharactersWithSpaces>
  <Paragraphs>103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