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799р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государственного заказа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проведение научно-исследовательских работ,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опытно-конструкторских и технологических работ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2024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формирования, утверждения и реализации государственного заказа на проведение научно-исследовательских работ, опытно-конструкторских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технологических работ на 2024 год в области сельского хозяйства: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Распоряжение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799р «Об утверждении государственного заказа на проведение научно-исследовательских работ, опытно-конструкторских и технологических работ на 2024 год» (САЗ 23-36)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распоряжениями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2023 года № 899р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2023001673, дата опубликования: 5 октября 2023 года),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54р (САЗ 24-6)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таблицу Приложения к Распоряжению дополнить пунктами 4-1 – 4-6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560310" cy="997204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9972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1981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319"/>
                              <w:gridCol w:w="1324"/>
                              <w:gridCol w:w="1964"/>
                              <w:gridCol w:w="2210"/>
                              <w:gridCol w:w="1964"/>
                              <w:gridCol w:w="891"/>
                              <w:gridCol w:w="1324"/>
                              <w:gridCol w:w="1985"/>
                            </w:tblGrid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№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Наименование заказчика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Наименование тематики научно-исследовательских работ, опытно-конструкторских и технологических работ, этапа, реализуемого в текущем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финансовом году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Обоснование необходимости проведения научно-исследовательских работ, опытно-конструкторских и технологических работ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по научной теме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Ожидаемые научные, практические и социально-экономические результаты проведения научно-исследовательских работ,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опытно-конструкторских и технологических работ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Сроки проведения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Предельная стоимость, рубли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Исполнитель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4-1.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Министерство сельского хозяйства и природных ресурсов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Тема: «Создание сортов и гибридов пасленовых культур разных сроков созревания, пригодных для свежего потребления и консервирования»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Главным направлением в селекции пасленовых культур является создание сортов и гибридов, отвечающих современным требованиям. Спрос на рынке пасленовых культур стал резко меняться, то есть намечается уход от классических типов в сторону специальных сортов и гибридов. Томаты с разной окраской и разноокрашенные, крупноплодные и мелкоплодные, кистевые вишневидного и коктейльного типа, сорта перца сладкого конусовидные и кубовидные разной окраски, толстостенные для свежего потребления и консервирования. Среди баклажан привлекают внимание сорта фиолетовой окраски с белыми штрихами без горечи.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Наиболее перспективными направлениями в селекции пасленовых культур на современном этапе являются: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а) создание томата – крупноплодного, мелкоплодного и коктейльного типа с разной окраской плода для свежего потребления и консервирования;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 перца сладкого для свежего потребления и переработки;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в) белоплодного баклажана фиолетовой окраски с белыми штрихами без горечи для свежего потребления и консервирования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Будут созданы новые ранние и среднеранние сорта и гибриды пасленовых культур, обладающие высокой урожайностью и транспортабельностью, вкусовыми и технологическими качествами, выносливые к болезням и пригодные для свежего потребления и консервирования, а именно: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а) 1 (один) индетерминантный гибрид томата с перцевидной формой (стандарты – сорта Де барао красный, Банан красный, 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Юнона);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 1 (один) детерминантный красноплодный сорт томата массой до 100 грамм среднераннего срока созревания (стандарт – сорта Амулет, Лагуна);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в) 1 (один) индетерминантный гибрид томата вишневидного типа (стандарт – F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Маргаритка);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г) 1 (один) сорт перца сладкого с удлиненно-конической формой плода, в технической спелости – красный (стандарт – сорт Хобот);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д) один сорт баклажана фиолетовой окраски с белыми штрихами (стандарт – сорт Любимец)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I-IV кварталы 2024 года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1 373 916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Государственное унитарное предприятие «Приднестровский научно-исследовательский институт сельского хозяйства», лаборатория пасленовых культур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4-2.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Тема: «Создание сортов и гибридов тыквенных культур для пленочных теплиц и открытого грунта (огурец партенокарпический и пчелоопыляемый, арбуз столовый, дыня, патиссон)»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Благодаря усилиям селекционеров на рынке семян каждый год появляются интересные и необычные сорта и гибриды овощебахчевых культур. Современные направления в селекции огурца позволяют найти «свой» гибрид каждому фермеру и огороднику-любителю, получить продукцию, максимально подходящую для конкретной цели, облегчить уход за посадками и сэкономить площадь выращивания и питания. Среди бахчевых культур привлекают внимание образцы арбуза и дыни с разной окраской мякоти (красная, розовая, желтая, оранжевая, зеленая, белая), патиссона с разной окраской плода (оранжевая, зеленая, кремовая, салатовая). Особенно пользуются спросом гибриды арбуза с бессемянными плодами, то есть партенокарпического типа и мелкоплодные сорта патиссона для консервирования в виде «ассорти».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Следовательно, одними из наиболее перспективных направлений в селекции тыквенных культур в настоящее время являются: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а) в селекции огурца: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1) пучковые и суперпучковые гибриды (в каждом узле формируется 2-4, 5-9 и более завязей);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2) одностебельные партенокарпические гибриды с ограниченным ветвлением;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3) пчелоопыляемые гибриды универсального назначения для летне-осеннего срока выращивания, плодоносящие до ранних заморозков;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 в селекции бахчевых культур: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1) гибриды бессемянного арбуза столового;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2) сорта дыни с оранжевой мякотью;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3) сорта патиссона светло-салатового цвета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Будут созданы 3 (три) гибрида огурца (два партернокарпических и один пчелоопыляемый) для пленочных теплиц и открытого грунта универсального назначения. Стандарты: гибриды F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Балконный, F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Городской огурчик, F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Артель, F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Спринт, сорт Феникс.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Будут созданы 1 (один) гибрид и 2 (два) сорта бахчевых культур: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а) один гибрид арбуза столового.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Стандарты – Мулен Руж, Каристан.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 один сорт дыни.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Стандарты – Приднестровская, Басарабия;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в) один сорт патиссона светло-салатового цвета.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Стандарт – Грошик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I-IV кварталы 2024 года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1 249 922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Государственное унитарное предприятие «Приднестровский научно-исследовательский институт сельского хозяйства», лаборатория тыквенных культур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4-3.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Тема: «Создание гибридов кукурузы сахарной, семеноводство кукурузы зерновой и улучшающая работа с исходным материалом гороха овощного, семеноводство районированных зернобобовых культур, способствующих сохранению плодородия почв»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 последние годы площади выращивания сахарной кукурузы и овощного гороха составляют 40-50 процентов площадей, занятых овощными культурами, опередив при этом лук, томаты, картофель. Основные массивы этих культур в нашем регионе выращены из семян иностранной селекции. В этих условиях первостепенной задачей является обеспечение хозяйствующих субъектов и населения Приднестровской Молдавской Республики высококачественным семенным материалом кукурузы сахарной и гороха овощного собственной селекции, а также налаживание семеноводства кукурузы зерновой, что позволит снизить импорт семян из-за рубежа и уменьшить вывоз валюты из страны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Будут созданы 2 (два) новых гибрида кукурузы суперсладкой (sh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-1"/>
                                      <w:sz w:val="1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) разных сроков созревания для потребления в свежем виде и различных видов переработки, пригодных для промышленного выращивания и уборки (стандарт: Копа F1, Драйвер F1, ГСС 8529).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Будет проведена улучшающая работа с исходным материалом гороха овощного, семеноводство районированных зернобобовых культур, способствующих сохранению плодородия почв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I-IV кварталы 2024 года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690 090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Государственное унитарное предприятие «Приднестровский научно-исследовательский институт сельского хозяйства», лаборатория зернобобовых и двулетних культур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4-4.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Тема: «Создание сорта капусты белокочанной среднепозднего срока созревания, лука репчатого озимого и улучшающая работа с исходным материалом лука репчатого, капусты белокочанной, моркови и свеклы столовой»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Обеспечение населения качественными продуктами питания обуславливает высокую актуальность селекции и семеноводства двулетних культур.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Учитывая повышенный спрос на тонколистную капусту у населения, будет проведена селекционная работа по данному направлению.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Новым направлением селекции двулетних культур станет селекция лука репчатого озимого, которая позволит получать готовую продукцию в июне-июле и обеспечит низкие цены на лук в этот период.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Традиционно высоким спросом пользуются семена таких культур, как морковь столовая, свекла столовая, лук репчатый и зеленные культуры. Их семеноводство позволит обеспечить сельхозтоваропроизводителей и огородников-любителей местными семенами высокого качества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Будет создан 1 (один) сорт капусты белокочанной позднего срока созревания с урожайностью 70-80 т/га (стандарт – с. Волна) и 1 (один) сорт лука репчатого озимого (стандарт – с. Халцедон).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Будет проведена улучшающая работа по поддержанию ценных признаков районированных сортов лука репчатого (Халцедон, Пингвин, Золотой купол), моркови столовой (Красавка, Артек), свеклы столовой (Бордо 237, Цилиндра), капусты белокочанной (Волна, Завадовская, Лада) и выращены семена суперэлиты и элиты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I-IV кварталы 2024 года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684 507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Государственное унитарное предприятие «Приднестровский научно-исследовательский институт сельского хозяйства», лаборатория зернобобовых и двулетних культур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4-5.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Тема: «Разработка агротехнических мероприятий по защите сельскохозяйственных культур от болезней, вредителей и сорняков (овощебахчевые, зерновые, технические культуры)»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 последние годы на сельскохозяйственных угодьях увеличивается патогенность и вредоносность болезней вредителей и сорняков. Это обусловлено как инвазивными объектами, так и изменением климатических условий, особенно в зимне-весенний период. Некоторые вредные объекты приобрели устойчивость к ранее разработанным схемам борьбы с ними.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Большое количество эффективных химических средств защиты растений выведены по тем или иным причинам из коммерческого оборота. В этой связи необходимы постоянные исследования, направленные на испытания различных СЗР и создание интегрированных и дифференцированных схем защиты растений для обеспечения наибольшей эффективности при сохранении эколого-гигиенической безопасности сельскохозяйственной продукции.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Совершенствование защитных мероприятий по борьбе с наиболее вредоносными болезнями, вредителями и сорняками за счет изучения новых химических и биологических средств защиты, уточнения видового состава возбудителей болезней и вредителей, их биологических особенностей в местных условиях определяют актуальность данных исследований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Будут разработаны и испытаны интегрированные схемы борьбы с болезнями, вредителями и сорняками, что позволит снизить затраты и сохранить 10-60 процентов урожая.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Разработка новых систем защиты растений от болезней, вредителей и сорняков будет направлена на снижение себестоимости единицы продукции. Основой новых систем защиты растений будет применение агротехнических, биологических и химических приемов борьбы с конкурентами за влагу и питание, дифференцированная защита от болезней и вредителей (краевые обработки, в том числе лесополос, обработки по метеорологическим условиям и прогнозам развития болезней). На полевых культурах будет использован сопряженный наземный и дистанционный мониторинг.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Разработка мер борьбы с сорняками, учитывающих их флористический состав и фазы развития. Дифференцированный подход к флористическому составу и фазам развития сорняков на разных культурах позволит снизить затраты труда и сохранить 10-60 процентов потерь урожая от сорняков.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Разработка интегрированной системы защиты сельскохозяйственных культур, включающей новые химические и биологические средства, обладающей высокой эффективностью против основных вредителей и болезней и отвечающей современным санитарно-гигиеническим требованиям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I-IV кварталы 2024 года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649 434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Государственное унитарное предприятие «Приднестровский научно-исследовательский институт сельского хозяйства», лаборатория защиты растений от вредителей, болезней и сорняков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4-6.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Тема: «Мониторинг плодородия почв в зерно-кормо-овощном севообороте с элементами органического земледелия и разработка мероприятий для его поддержания»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Современные исследования свидетельствуют о том, что в мире прогрессирует деградация плодородия почв. По прогнозу ООН, если этот процесс не остановить, то уже через 20-30 лет в мире площадь пахотных земель, приходящаяся на 1 (одного) человека, уменьшится вдвое.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Индикатором плодородия почв всегда считалось содержание гумуса. Однако повсеместно наблюдается падение плодородия почв, выраженное значительным снижением содержания гумуса.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Разработка системы земледелия с максимальным использованием местных ресурсов (почвы, климата, рельефа, воды, сидеральных удобрений, навоза), а также научно обоснованной структуры посевных площадей является ключевой задачей сохранения плодородия почв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Будет установлено влияние удобрений на физические, химические свойства и микробиологическую активность почвы по окончании второй ротации севооборота.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Будет установлено влияние возделывания зерновых, технических и промежуточных культур, а также минеральных удобрений на изменение основных показателей плодородия почвы (контролем будет вариант без удобрений).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Будут изданы рекомендации по плодородию почв, включающие элементы системы органического земледелия (обработка почвы, орошение и удобрение сельскохозяйственных культур в севообороте, сидерацию, применение навоза), которые в современных условиях остановят ухудшение физических и химических свойств почвы и активизируют деятельность микроорганизмов для обеспечения положительного баланса органического вещества и питательных веществ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I-IV кварталы 2024 года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975 042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Государственное унитарное предприятие «Приднестровский научно-исследовательский институт сельского хозяйства», лаборатория орошаемого земледелия и плодородия почв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5.3pt;height:785.2pt;mso-wrap-distance-left:0pt;mso-wrap-distance-right:0pt;mso-wrap-distance-top:0pt;mso-wrap-distance-bottom:0pt;margin-top:0pt;mso-position-vertical:top;mso-position-vertical-relative:text;margin-left:-56.7pt;mso-position-horizontal:left;mso-position-horizontal-relative:text">
                <v:textbox>
                  <w:txbxContent>
                    <w:tbl>
                      <w:tblPr>
                        <w:tblW w:w="11981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319"/>
                        <w:gridCol w:w="1324"/>
                        <w:gridCol w:w="1964"/>
                        <w:gridCol w:w="2210"/>
                        <w:gridCol w:w="1964"/>
                        <w:gridCol w:w="891"/>
                        <w:gridCol w:w="1324"/>
                        <w:gridCol w:w="1985"/>
                      </w:tblGrid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№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Наименование заказчика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Наименование тематики научно-исследовательских работ, опытно-конструкторских и технологических работ, этапа, реализуемого в текущем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финансовом году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Обоснование необходимости проведения научно-исследовательских работ, опытно-конструкторских и технологических работ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по научной теме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Ожидаемые научные, практические и социально-экономические результаты проведения научно-исследовательских работ,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опытно-конструкторских и технологических работ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Сроки проведения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Предельная стоимость, рубли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Исполнитель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4-1.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Министерство сельского хозяйства и природных ресурсов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Тема: «Создание сортов и гибридов пасленовых культур разных сроков созревания, пригодных для свежего потребления и консервирования»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Главным направлением в селекции пасленовых культур является создание сортов и гибридов, отвечающих современным требованиям. Спрос на рынке пасленовых культур стал резко меняться, то есть намечается уход от классических типов в сторону специальных сортов и гибридов. Томаты с разной окраской и разноокрашенные, крупноплодные и мелкоплодные, кистевые вишневидного и коктейльного типа, сорта перца сладкого конусовидные и кубовидные разной окраски, толстостенные для свежего потребления и консервирования. Среди баклажан привлекают внимание сорта фиолетовой окраски с белыми штрихами без горечи.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Наиболее перспективными направлениями в селекции пасленовых культур на современном этапе являются: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а) создание томата – крупноплодного, мелкоплодного и коктейльного типа с разной окраской плода для свежего потребления и консервирования;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 перца сладкого для свежего потребления и переработки;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в) белоплодного баклажана фиолетовой окраски с белыми штрихами без горечи для свежего потребления и консервирования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Будут созданы новые ранние и среднеранние сорта и гибриды пасленовых культур, обладающие высокой урожайностью и транспортабельностью, вкусовыми и технологическими качествами, выносливые к болезням и пригодные для свежего потребления и консервирования, а именно: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а) 1 (один) индетерминантный гибрид томата с перцевидной формой (стандарты – сорта Де барао красный, Банан красный,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Юнона);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 1 (один) детерминантный красноплодный сорт томата массой до 100 грамм среднераннего срока созревания (стандарт – сорта Амулет, Лагуна);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в) 1 (один) индетерминантный гибрид томата вишневидного типа (стандарт – F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Маргаритка);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г) 1 (один) сорт перца сладкого с удлиненно-конической формой плода, в технической спелости – красный (стандарт – сорт Хобот);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д) один сорт баклажана фиолетовой окраски с белыми штрихами (стандарт – сорт Любимец)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I-IV кварталы 2024 года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1 373 916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Государственное унитарное предприятие «Приднестровский научно-исследовательский институт сельского хозяйства», лаборатория пасленовых культур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4-2.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Тема: «Создание сортов и гибридов тыквенных культур для пленочных теплиц и открытого грунта (огурец партенокарпический и пчелоопыляемый, арбуз столовый, дыня, патиссон)»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Благодаря усилиям селекционеров на рынке семян каждый год появляются интересные и необычные сорта и гибриды овощебахчевых культур. Современные направления в селекции огурца позволяют найти «свой» гибрид каждому фермеру и огороднику-любителю, получить продукцию, максимально подходящую для конкретной цели, облегчить уход за посадками и сэкономить площадь выращивания и питания. Среди бахчевых культур привлекают внимание образцы арбуза и дыни с разной окраской мякоти (красная, розовая, желтая, оранжевая, зеленая, белая), патиссона с разной окраской плода (оранжевая, зеленая, кремовая, салатовая). Особенно пользуются спросом гибриды арбуза с бессемянными плодами, то есть партенокарпического типа и мелкоплодные сорта патиссона для консервирования в виде «ассорти».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Следовательно, одними из наиболее перспективных направлений в селекции тыквенных культур в настоящее время являются: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а) в селекции огурца: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1) пучковые и суперпучковые гибриды (в каждом узле формируется 2-4, 5-9 и более завязей);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2) одностебельные партенокарпические гибриды с ограниченным ветвлением;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3) пчелоопыляемые гибриды универсального назначения для летне-осеннего срока выращивания, плодоносящие до ранних заморозков;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 в селекции бахчевых культур: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1) гибриды бессемянного арбуза столового;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2) сорта дыни с оранжевой мякотью;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3) сорта патиссона светло-салатового цвета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Будут созданы 3 (три) гибрида огурца (два партернокарпических и один пчелоопыляемый) для пленочных теплиц и открытого грунта универсального назначения. Стандарты: гибриды F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Балконный, F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Городской огурчик, F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Артель, F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Спринт, сорт Феникс.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Будут созданы 1 (один) гибрид и 2 (два) сорта бахчевых культур: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а) один гибрид арбуза столового.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Стандарты – Мулен Руж, Каристан.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 один сорт дыни.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Стандарты – Приднестровская, Басарабия;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в) один сорт патиссона светло-салатового цвета.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Стандарт – Грошик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I-IV кварталы 2024 года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1 249 922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Государственное унитарное предприятие «Приднестровский научно-исследовательский институт сельского хозяйства», лаборатория тыквенных культур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4-3.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Тема: «Создание гибридов кукурузы сахарной, семеноводство кукурузы зерновой и улучшающая работа с исходным материалом гороха овощного, семеноводство районированных зернобобовых культур, способствующих сохранению плодородия почв»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 последние годы площади выращивания сахарной кукурузы и овощного гороха составляют 40-50 процентов площадей, занятых овощными культурами, опередив при этом лук, томаты, картофель. Основные массивы этих культур в нашем регионе выращены из семян иностранной селекции. В этих условиях первостепенной задачей является обеспечение хозяйствующих субъектов и населения Приднестровской Молдавской Республики высококачественным семенным материалом кукурузы сахарной и гороха овощного собственной селекции, а также налаживание семеноводства кукурузы зерновой, что позволит снизить импорт семян из-за рубежа и уменьшить вывоз валюты из страны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Будут созданы 2 (два) новых гибрида кукурузы суперсладкой (sh</w:t>
                            </w:r>
                            <w:r>
                              <w:rPr>
                                <w:rFonts w:ascii="times new roman;times" w:hAnsi="times new roman;times"/>
                                <w:position w:val="-1"/>
                                <w:sz w:val="1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) разных сроков созревания для потребления в свежем виде и различных видов переработки, пригодных для промышленного выращивания и уборки (стандарт: Копа F1, Драйвер F1, ГСС 8529).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Будет проведена улучшающая работа с исходным материалом гороха овощного, семеноводство районированных зернобобовых культур, способствующих сохранению плодородия почв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I-IV кварталы 2024 года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690 090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Государственное унитарное предприятие «Приднестровский научно-исследовательский институт сельского хозяйства», лаборатория зернобобовых и двулетних культур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4-4.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Тема: «Создание сорта капусты белокочанной среднепозднего срока созревания, лука репчатого озимого и улучшающая работа с исходным материалом лука репчатого, капусты белокочанной, моркови и свеклы столовой»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Обеспечение населения качественными продуктами питания обуславливает высокую актуальность селекции и семеноводства двулетних культур.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Учитывая повышенный спрос на тонколистную капусту у населения, будет проведена селекционная работа по данному направлению.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Новым направлением селекции двулетних культур станет селекция лука репчатого озимого, которая позволит получать готовую продукцию в июне-июле и обеспечит низкие цены на лук в этот период.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Традиционно высоким спросом пользуются семена таких культур, как морковь столовая, свекла столовая, лук репчатый и зеленные культуры. Их семеноводство позволит обеспечить сельхозтоваропроизводителей и огородников-любителей местными семенами высокого качества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Будет создан 1 (один) сорт капусты белокочанной позднего срока созревания с урожайностью 70-80 т/га (стандарт – с. Волна) и 1 (один) сорт лука репчатого озимого (стандарт – с. Халцедон).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Будет проведена улучшающая работа по поддержанию ценных признаков районированных сортов лука репчатого (Халцедон, Пингвин, Золотой купол), моркови столовой (Красавка, Артек), свеклы столовой (Бордо 237, Цилиндра), капусты белокочанной (Волна, Завадовская, Лада) и выращены семена суперэлиты и элиты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I-IV кварталы 2024 года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684 507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Государственное унитарное предприятие «Приднестровский научно-исследовательский институт сельского хозяйства», лаборатория зернобобовых и двулетних культур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4-5.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Тема: «Разработка агротехнических мероприятий по защите сельскохозяйственных культур от болезней, вредителей и сорняков (овощебахчевые, зерновые, технические культуры)»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 последние годы на сельскохозяйственных угодьях увеличивается патогенность и вредоносность болезней вредителей и сорняков. Это обусловлено как инвазивными объектами, так и изменением климатических условий, особенно в зимне-весенний период. Некоторые вредные объекты приобрели устойчивость к ранее разработанным схемам борьбы с ними.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Большое количество эффективных химических средств защиты растений выведены по тем или иным причинам из коммерческого оборота. В этой связи необходимы постоянные исследования, направленные на испытания различных СЗР и создание интегрированных и дифференцированных схем защиты растений для обеспечения наибольшей эффективности при сохранении эколого-гигиенической безопасности сельскохозяйственной продукции.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Совершенствование защитных мероприятий по борьбе с наиболее вредоносными болезнями, вредителями и сорняками за счет изучения новых химических и биологических средств защиты, уточнения видового состава возбудителей болезней и вредителей, их биологических особенностей в местных условиях определяют актуальность данных исследований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Будут разработаны и испытаны интегрированные схемы борьбы с болезнями, вредителями и сорняками, что позволит снизить затраты и сохранить 10-60 процентов урожая.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Разработка новых систем защиты растений от болезней, вредителей и сорняков будет направлена на снижение себестоимости единицы продукции. Основой новых систем защиты растений будет применение агротехнических, биологических и химических приемов борьбы с конкурентами за влагу и питание, дифференцированная защита от болезней и вредителей (краевые обработки, в том числе лесополос, обработки по метеорологическим условиям и прогнозам развития болезней). На полевых культурах будет использован сопряженный наземный и дистанционный мониторинг.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Разработка мер борьбы с сорняками, учитывающих их флористический состав и фазы развития. Дифференцированный подход к флористическому составу и фазам развития сорняков на разных культурах позволит снизить затраты труда и сохранить 10-60 процентов потерь урожая от сорняков.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Разработка интегрированной системы защиты сельскохозяйственных культур, включающей новые химические и биологические средства, обладающей высокой эффективностью против основных вредителей и болезней и отвечающей современным санитарно-гигиеническим требованиям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I-IV кварталы 2024 года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649 434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Государственное унитарное предприятие «Приднестровский научно-исследовательский институт сельского хозяйства», лаборатория защиты растений от вредителей, болезней и сорняков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4-6.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Тема: «Мониторинг плодородия почв в зерно-кормо-овощном севообороте с элементами органического земледелия и разработка мероприятий для его поддержания»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Современные исследования свидетельствуют о том, что в мире прогрессирует деградация плодородия почв. По прогнозу ООН, если этот процесс не остановить, то уже через 20-30 лет в мире площадь пахотных земель, приходящаяся на 1 (одного) человека, уменьшится вдвое.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Индикатором плодородия почв всегда считалось содержание гумуса. Однако повсеместно наблюдается падение плодородия почв, выраженное значительным снижением содержания гумуса.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Разработка системы земледелия с максимальным использованием местных ресурсов (почвы, климата, рельефа, воды, сидеральных удобрений, навоза), а также научно обоснованной структуры посевных площадей является ключевой задачей сохранения плодородия почв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Будет установлено влияние удобрений на физические, химические свойства и микробиологическую активность почвы по окончании второй ротации севооборота.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Будет установлено влияние возделывания зерновых, технических и промежуточных культур, а также минеральных удобрений на изменение основных показателей плодородия почвы (контролем будет вариант без удобрений).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Будут изданы рекомендации по плодородию почв, включающие элементы системы органического земледелия (обработка почвы, орошение и удобрение сельскохозяйственных культур в севообороте, сидерацию, применение навоза), которые в современных условиях остановят ухудшение физических и химических свойств почвы и активизируют деятельность микроорганизмов для обеспечения положительного баланса органического вещества и питательных веществ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I-IV кварталы 2024 года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975 042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Государственное унитарное предприятие «Приднестровский научно-исследовательский институт сельского хозяйства», лаборатория орошаемого земледелия и плодородия почв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таблице к Приложению к Распоряжению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08"/>
        <w:gridCol w:w="955"/>
        <w:gridCol w:w="7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259 351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08"/>
        <w:gridCol w:w="1071"/>
        <w:gridCol w:w="72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5 882 262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таблице к Приложению к Распоряжению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38"/>
        <w:gridCol w:w="798"/>
        <w:gridCol w:w="3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6 461 998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67"/>
        <w:gridCol w:w="918"/>
        <w:gridCol w:w="3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12 084 909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Распоряжение вступает в силу со дня вступления в силу Закона Приднестровской Молдавской Республики «О внесении изменений </w:t>
      </w:r>
      <w:r>
        <w:rPr/>
        <w:br/>
      </w:r>
      <w:r>
        <w:rPr>
          <w:rFonts w:ascii="times new roman;times" w:hAnsi="times new roman;times"/>
          <w:sz w:val="24"/>
        </w:rPr>
        <w:t xml:space="preserve">в Закон Приднестровской Молдавской Республики «О республиканском бюджете на 2024 год», предусматривающего увеличение плановых лимитов  для целей финансирования государственного заказа на проведение научно-исследовательских работ, опытно-конструкторских и технологических работ </w:t>
      </w:r>
      <w:r>
        <w:rPr/>
        <w:br/>
      </w:r>
      <w:r>
        <w:rPr>
          <w:rFonts w:ascii="times new roman;times" w:hAnsi="times new roman;times"/>
          <w:sz w:val="24"/>
        </w:rPr>
        <w:t>в области сельского хозяйства.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0%D0%B2%D0%B3%D1%83%D1%81%D1%82%D0%B0%202023%20%D0%B3%D0%BE%D0%B4%D0%B0%20%E2%84%96%20799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0%D0%B2%D0%B3%D1%83%D1%81%D1%82%D0%B0%202023%20%D0%B3%D0%BE%D0%B4%D0%B0%20%E2%84%96%20799%D1%80%20%C2%AB%D0%9E%D0%B1%20%D1%83%D1%82%D0%B2%D0%B5%D1%80%D0%B6%D0%B4%D0%B5%D0%BD%D0%B8%D0%B8%20%D0%B3%D0%BE%D1%81%D1%83%D0%B4%D0%B0%D1%80%D1%81%D1%82%D0%B2%D0%B5%D0%BD%D0%BD%D0%BE%D0%B3%D0%BE%20%D0%B7%D0%B0%D0%BA%D0%B0%D0%B7%D0%B0%20%D0%BD%D0%B0%20%D0%BF%D1%80%D0%BE%D0%B2%D0%B5%D0%B4%D0%B5%D0%BD%D0%B8%D0%B5%20%D0%BD%D0%B0%D1%83%D1%87%D0%BD%D0%BE-%D0%B8%D1%81%D1%81%D0%BB%D0%B5%D0%B4%D0%BE%D0%B2%D0%B0%D1%82%D0%B5%D0%BB%D1%8C%D1%81%D0%BA%D0%B8%D1%85%20%D1%80%D0%B0%D0%B1%D0%BE%D1%82%2C%20%D0%BE%D0%BF%D1%8B%D1%82%D0%BD%D0%BE-%D0%BA%D0%BE%D0%BD%D1%81%D1%82%D1%80%D1%83%D0%BA%D1%82%D0%BE%D1%80%D1%81%D0%BA%D0%B8%D1%85%20%D0%B8%20%D1%82%D0%B5%D1%85%D0%BD%D0%BE%D0%BB%D0%BE%D0%B3%D0%B8%D1%87%D0%B5%D1%81%D0%BA%D0%B8%D1%85%20%D1%80%D0%B0%D0%B1%D0%BE%D1%82%20%D0%BD%D0%B0%202024%20%D0%B3%D0%BE%D0%B4%C2%BB%20%28%D0%A1%D0%90%D0%97%2023-36%29" TargetMode="External"/><Relationship Id="rId8" Type="http://schemas.openxmlformats.org/officeDocument/2006/relationships/hyperlink" Target="documents/search/doc-link/?q=%D0%BE%D1%82%205%20%D0%BE%D0%BA%D1%82%D1%8F%D0%B1%D1%80%D1%8F%202023%20%D0%B3%D0%BE%D0%B4%D0%B0%20%E2%84%96%20899%D1%80" TargetMode="External"/><Relationship Id="rId9" Type="http://schemas.openxmlformats.org/officeDocument/2006/relationships/hyperlink" Target="documents/search/doc-link/?q=%D0%BE%D1%82%2031%20%D1%8F%D0%BD%D0%B2%D0%B0%D1%80%D1%8F%202024%20%D0%B3%D0%BE%D0%B4%D0%B0%20%E2%84%96%2054%D1%80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1786</Words>
  <Characters>13109</Characters>
  <CharactersWithSpaces>15241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