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фармакопейной статьи ФС 2826-024-24 «Метиленовый синий, раствор для местного и наружного применения 1 % водный»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фармакопейную статью ФС 2826-024-24 «Метиленовый синий, раствор для местного и наружного применения 1 % водный»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Министерства здравоохранения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2003 года № 620 «О введении в действие на территории Приднестровской Молдавской Республики нормативных документов в области здравоохранения»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2517 от 18 декабря 2003 года) (САЗ 03-51) с изменениями,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662</w:t>
        </w:r>
      </w:hyperlink>
      <w:r>
        <w:rPr>
          <w:rFonts w:ascii="times new roman;times" w:hAnsi="times new roman;times"/>
          <w:sz w:val="24"/>
        </w:rPr>
        <w:t xml:space="preserve"> (регистрационный № 11256 от 1 сентября 2022 года) (САЗ 22-34),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609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Ответственность за исполнение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180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  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                                                                                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февраля 2024 года № 180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Фармакопейная статья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ФС 2826-024-24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Метиленовый синий, раствор для местного и наружного применения 1 % водный,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Methyleni coerulai solution adusum localem et externum 1 % aquae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Срок введения установлен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«____» ___________2024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Настоящая фармакопейная статья распространяется на лекарственный препарат «Метиленовый синий, раствор для местного и наружного применения 1 % водный». Препарат должен соответствовать требованиям ОФС «Растворы» и нижеприведенным требованиям.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Метиленового синего (Метилтиониния хлорида)            10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(ГФ ПМР XIV изд., том III, ч.2: ФС.2.1.0132.18)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Воды очищенной                                                             до 1000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(ФС 2826-009-14)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Описание. Прозрачная жидкость темно-синего цвета.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Подлинность.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5 мл препарата прибавляют 0,3 мл 0,05 М раствора йода. Раствор окрашивается в коричневый цвет и выпадает темно-коричневый осадок. При прибавлении нескольких капель 0,1 М раствора натрия тиосульфата восстанавливается синий цвет раствора (метиленовый синий).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Количественное определение.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10 мл препарата помещают в стакан емкостью 100 мл, прибавляют 30 мл воды, 15 мл 0,1 н. раствора бихромата калия, хорошо перемешивают и нагревают в течение 5 минут, погружая стакан в водяную баню, нагретую до 75 °С. Затем охлаждают и выпавший осадок отфильтровывают через стеклянный фильтр. Стакан и фильтр промывают ледяной водой (4 раза по 2,5 мл) каждый раз полностью отсасывая воду. К фильтрату (с промывными водами) прибавляют 150 мл воды, 15 мл разведенной серной кислоты и 2 г калия йодида, хорошо перемешивают, оставляют на 5 минут и выделившийся йод титруют 0,1 н. раствором натрия тиосульфата, прибавляя в конце титрования 2 мл раствора крахмала.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Параллельно проводят контрольный опыт.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1мл 0,1 н. раствора бихромата калия соответствует 0,01066 г C16H18ClN3S (метиленового синего), которого в 1мл препарата должно быть 0,0095 г - 0,0105 г в пересчете на сухое вещество.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 xml:space="preserve">Объем содержимого упаковки. Препарат должен соответствовать требованиям Приказа Министерства здравоохранения и социальной защиты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14 «Об утверждении Инструкции на допустимые отклонения при промышленном фасовании лекарственных средств» (САЗ 09-11)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Микробиологическая чистота. В соответствии с требованием ОФС «Микробиологическая чистота».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Упаковка.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Первичная упаковка: По 25, 30, 40, 50 или 100 мл во флаконах темного стекла с винтовой горловиной или во флаконах полимерных темного цвета. Флаконы темного стекла укупориваются полиэтиленовыми пробками и завинчиваются пластмассовыми или полимерными крышками. Флаконы полимерные завинчиваются полимерными пробками или насадкой и колпачком, с или без контроля вскрытия, в комплекте с насадкой-распылителем или без. Допускается наличие пробки с помазком или пробки-капельницы.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На каждый флакон наклеивается этикетка, изготовленная из бумаги этикеточной, или писчей, или самоклеящейся.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Вторичная упаковка: По одному флакону вместе с инструкцией по медицинскому применению или по одному флакону с насадкой-распылителем, или одному флакону с пробкой с помазком или с пробкой-капельницей и инструкцией по медицинскому применению помещают в пачку из картона. Допускается укладка флаконов в групповую упаковку без индивидуальной упаковки с равным количеством инструкций по медицинскому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Групповая упаковка: флаконы вместе с инструкциями по медицинскому применению помешают в картонные коробки.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 для транспортировки согласно ГОСТ 17768-90.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 xml:space="preserve">Маркировка. Соответствует требованиям Приказа Министерства здравоохранения и социальной защиты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2008 года № 482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по графическому оформлению лекарственных средств, производимых на территории Приднестровской Молдавской Республики» (регистрационный № 4614 от 10 ноября 2008 года) (САЗ 08-45), Приказа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и ввозимых на территорию Приднестровской Молдавской Республики фармацевтическими организациями»</w:t>
        </w:r>
      </w:hyperlink>
      <w:r>
        <w:rPr>
          <w:rFonts w:ascii="times new roman;times" w:hAnsi="times new roman;times"/>
          <w:sz w:val="24"/>
        </w:rPr>
        <w:t xml:space="preserve"> (САЗ 20- 34) и Государственной фармакопеей Приднестровской Молдавской Республики XIV издание том I часть 1: ОФС.1.1.0025.18. «Упаковка, маркировка и транспортирование лекарственных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На первичной (внутренней) упаковке лекарственного препарата указывается следующая информация: торговое наименование лекарственного препарата; международное непатентованное наименование; концентрация активной фармацевтической субстанции; лекарственная форма; количество лекарственного препарата в упаковке; наименование и адрес производителя лекарственного препарата, товарный знак; номер серии; дата истечения срока годности («годен до…») регистрационный номер; условия хранения; условия отпуска.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На вторичной упаковке, а при ее отсутствии — на первичной упаковке лекарственного препарата указывается следующая информация: торговое наименование лекарственного препарата; международное непатентованное наименование; концентрация активной фармацевтической субстанции; лекарственная форма; количество лекарственного препарата в упаковке; информация о составе лекарственного препарата; наименование и адрес производителя лекарственного препарата, товарный знак; номер серии; регистрационный номер; дата производства; дата истечения срока годности («годен до…»); условия хранения; условия отпуска; предупредительные надписи «хранить в недоступном для детей месте», допускается нанесение тематического рисунка.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На групповой упаковке – торговое наименование лекарственного препарата; наименование и адрес производителя лекарственного препарата; количество лекарственного препарата в упаковке и (или) количество упаковок в групповой упаковке; условия хранения и при необходимости условия транспортировки; номер серии; дата производства; дата истечения срока годности («годен до…»).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Хранение. Хранить в защищенном от света месте, при температуре не выше 25 °С. Хранить в недоступном для детей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годности. 2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XIV издания.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14%20%D0%BD%D0%BE%D1%8F%D0%B1%D1%80%D1%8F%202003%20%D0%B3%D0%BE%D0%B4%D0%B0%20%E2%84%96%20620%20%C2%AB%D0%9E%20%D0%B2%D0%B2%D0%B5%D0%B4%D0%B5%D0%BD%D0%B8%D0%B8%20%D0%B2%20%D0%B4%D0%B5%D0%B9%D1%81%D1%82%D0%B2%D0%B8%D0%B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D%D0%BE%D1%80%D0%BC%D0%B0%D1%82%D0%B8%D0%B2%D0%BD%D1%8B%D1%85%20%D0%B4%D0%BE%D0%BA%D1%83%D0%BC%D0%B5%D0%BD%D1%82%D0%BE%D0%B2%20%D0%B2%20%D0%BE%D0%B1%D0%BB%D0%B0%D1%81%D1%82%D0%B8%20%D0%B7%D0%B4%D1%80%D0%B0%D0%B2%D0%BE%D0%BE%D1%85%D1%80%D0%B0%D0%BD%D0%B5%D0%BD%D0%B8%D1%8F%C2%BB" TargetMode="External"/><Relationship Id="rId30" Type="http://schemas.openxmlformats.org/officeDocument/2006/relationships/hyperlink" Target="documents/search/doc-link/?q=%D0%BE%D1%82%2029%20%D0%B8%D1%8E%D0%BB%D1%8F%202022%20%D0%B3%D0%BE%D0%B4%D0%B0%20%E2%84%96%20662" TargetMode="External"/><Relationship Id="rId31" Type="http://schemas.openxmlformats.org/officeDocument/2006/relationships/hyperlink" Target="documents/search/doc-link/?q=%D0%BE%D1%82%2028%20%D1%84%D0%B5%D0%B2%D1%80%D0%B0%D0%BB%D1%8F%202024%20%D0%B3%D0%BE%D0%B4%D0%B0%20%E2%84%96%20180" TargetMode="External"/><Relationship Id="rId32" Type="http://schemas.openxmlformats.org/officeDocument/2006/relationships/hyperlink" Target="documents/search/doc-link/?q=%D0%BE%D1%82%2014%20%D1%8F%D0%BD%D0%B2%D0%B0%D1%80%D1%8F%202009%20%D0%B3%D0%BE%D0%B4%D0%B0%20%E2%84%96%2014%20%C2%AB%D0%9E%D0%B1%20%D1%83%D1%82%D0%B2%D0%B5%D1%80%D0%B6%D0%B4%D0%B5%D0%BD%D0%B8%D0%B8%20%D0%98%D0%BD%D1%81%D1%82%D1%80%D1%83%D0%BA%D1%86%D0%B8%D0%B8%20%D0%BD%D0%B0%20%D0%B4%D0%BE%D0%BF%D1%83%D1%81%D1%82%D0%B8%D0%BC%D1%8B%D0%B5%20%D0%BE%D1%82%D0%BA%D0%BB%D0%BE%D0%BD%D0%B5%D0%BD%D0%B8%D1%8F%20%D0%BF%D1%80%D0%B8%20%D0%BF%D1%80%D0%BE%D0%BC%D1%8B%D1%88%D0%BB%D0%B5%D0%BD%D0%BD%D0%BE%D0%BC%20%D1%84%D0%B0%D1%81%D0%BE%D0%B2%D0%B0%D0%BD%D0%B8%D0%B8%20%D0%BB%D0%B5%D0%BA%D0%B0%D1%80%D1%81%D1%82%D0%B2%D0%B5%D0%BD%D0%BD%D1%8B%D1%85%20%D1%81%D1%80%D0%B5%D0%B4%D1%81%D1%82%D0%B2%C2%BB%20%28%D0%A1%D0%90%D0%97%2009-11%29" TargetMode="External"/><Relationship Id="rId33" Type="http://schemas.openxmlformats.org/officeDocument/2006/relationships/hyperlink" Target="documents/search/doc-link/?q=%D0%BE%D1%82%2030%20%D1%81%D0%B5%D0%BD%D1%82%D1%8F%D0%B1%D1%80%D1%8F%202008%20%D0%B3%D0%BE%D0%B4%D0%B0%20%E2%84%96%20482" TargetMode="External"/><Relationship Id="rId34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2%D0%B2%D0%BE%D0%B7%D0%B8%D0%BC%D1%8B%D1%85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1222</Words>
  <Characters>8086</Characters>
  <CharactersWithSpaces>9637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