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12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урегулировании вопросов землепользования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Дубоссарском районе»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Таможенным кодексом Приднестровской Молдавской Республики, в целях регламентации порядка перемещения товаров землепользователями Дубоссарского района, прошедшими процедуру специальной упрощенной регистрации,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12 «Об урегулировании вопросов землепользования в Дубоссарском районе» (САЗ 24-3)</w:t>
        </w:r>
      </w:hyperlink>
      <w:r>
        <w:rPr>
          <w:rFonts w:ascii="times new roman;times" w:hAnsi="times new roman;times"/>
          <w:sz w:val="24"/>
        </w:rPr>
        <w:t xml:space="preserve"> следующие изменения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Установить, что обработка земель сельскохозяйственного назначения, расположенных на территории Дубоссарского района Приднестровской Молдавской Республики к северо-востоку от трассы Тирасполь-Каменка, осуществляется физическими и юридическими лицами сел Дороцкое, Пырыта, Кошница, Погребя, Кочиеры, Новая Моловата, Васильевка (далее – землепользователи) на основании свидетельства о специальной упрощенной регистрации этих лиц в качестве землепользователей (далее – свидетельство)»;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«3. Специальная упрощенная регистрация физических и юридических лиц, указанных в пункте 1 настоящего Постановления, в качестве землепользователей и выдача свидетельства осуществляются на безвозмездной основе в течение 30 (тридцати) дней со дня обращения и представления документов, указанных в пункте 2 настоящего Постановления»;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4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Министерству сельского хозяйства и природных ресурсов Приднестровской Молдавской Республики в течение 1 (одного) рабочего дня, следующего за днем выдачи свидетельства, направлять в адрес Государственного таможенного комитета Приднестровской Молдавской Республики информацию о землепользователях, прошедших процедуру специальной упрощенной регистрации, с предоставлением копий документов, представленных землепользователями при специальной упрощенной регистрации»;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5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«5. Государственному таможенному комитету Приднестровской Молдавской Республики не позднее 1 (одного) рабочего дня, следующего за днем получения информации о землепользователях, прошедших процедуру специальной упрощенной регистрации, осуществлять их регистрацию </w:t>
      </w:r>
      <w:r>
        <w:rPr/>
        <w:br/>
      </w:r>
      <w:r>
        <w:rPr>
          <w:rFonts w:ascii="times new roman;times" w:hAnsi="times new roman;times"/>
          <w:sz w:val="24"/>
        </w:rPr>
        <w:t>в таможенном органе Приднестровской Молдавской Республики в соответствии с нормативным правовым актом Государственного таможенного комитета Приднестровской Молдавской Республики, регламентирующим порядок предоставления таможенному органу Приднестровской Молдавской Республики информации при совершении таможенных операций»;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Постановление дополнить пунктом 5-1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«5-1. Установить, что перемещение через таможенную границу Приднестровской Молдавской Республики в порядке, предусмотренном настоящим Постановлением, товаров и транспортных средств землепользователями, прошедшими процедуру специальной упрощенной регистрации, осуществляется после их регистрации в таможенном органе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товарам и транспортным средствам, указанным в настоящем пункте, относятся посадочный материал, удобрения, средства защиты растений, горюче-смазочные материалы, сельскохозяйственная техника и иные товарно-материальные ценности, предназначенные для производства собственной сельскохозяйственной продукции на земельных участках, а также готовая сельскохозяйственная продукция собственного производства, выращенная на указанных земельных участках.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перемещения через таможенную границу Приднестровской Молдавской Республики товаров и транспортных средств землепользователями, прошедшими процедуру специальной упрощенной регистрации, определен в Приложении к настоящему Постановлению»;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пункте 8 Постановления слова «действует по 1 апреля 2024 года включительно» заменить словами «действует по 1 ноября 2024 года включительно»;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ж) Постановление дополнить Приложением согласно Приложению </w:t>
      </w:r>
      <w:r>
        <w:rPr/>
        <w:br/>
      </w:r>
      <w:r>
        <w:rPr>
          <w:rFonts w:ascii="times new roman;times" w:hAnsi="times new roman;times"/>
          <w:sz w:val="24"/>
        </w:rPr>
        <w:t>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14 марта 2024 года № 136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8 января 2024 года № 12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перемещения через таможенную границу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товаров и транспортных средств землепользователями Дубоссарского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прошедшими процедуру специальной упрощенной регистрации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Порядок перемещения товаров и транспортных средств землепользователями Дубоссарского района (далее – Порядок) применяется </w:t>
      </w:r>
      <w:r>
        <w:rPr/>
        <w:br/>
      </w:r>
      <w:r>
        <w:rPr>
          <w:rFonts w:ascii="times new roman;times" w:hAnsi="times new roman;times"/>
          <w:sz w:val="24"/>
        </w:rPr>
        <w:t>в отношении товаров и транспортных средств, перемещаемых через таможенную границу Приднестровской Молдавской Республики землепользователями земельных участков в Дубоссарском районе, прошедшими процедуру специальной упрощенной регистрации (далее – землепользователи).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 Перемещение товаров и транспортных средств землепользователями, за исключением случая, установленного пунктом 3 настоящего Порядка, производится с применением специальной таможенной процедуры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Таможенным кодексом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применении специальной таможенной процедуры в качестве таможенной декларации используются предоставляемые декларантом документы, содержащие необходимые для выпуска товаров сведения.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3. Вывоз товаров, в отношении которых установлена вывозная или особая таможенная пошлина, осуществляется в соответствии с таможенной процедурой экспорта, с применением порядка периодического таможенного декларирования в соответствии с Таможенным кодексом Приднестровской Молдавской Республики: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 предоставлении землепользователями документа бухгалтерского учета, согласованного с уполномоченным подразделением Министерства сельского хозяйства и природных ресурсов Приднестровской Молдавской Республики, – в отношении зерновых, масличных и технических культур. Перечень товаров, относимых к зерновым, масличным и техническим культурам, приведен в Приложении к настоящему Порядку;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без получения решения Специальной комиссии при Правительстве Приднестровской Молдавской Республики по регулированию вывоза из Приднестровской Молдавской Республики в соответствии с таможенной процедурой экспорта отдельных категорий продовольственных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Таможенная стоимость товаров, вывозимых землепользователями </w:t>
      </w:r>
      <w:r>
        <w:rPr/>
        <w:br/>
      </w:r>
      <w:r>
        <w:rPr>
          <w:rFonts w:ascii="times new roman;times" w:hAnsi="times new roman;times"/>
          <w:sz w:val="24"/>
        </w:rPr>
        <w:t>с применением таможенной процедуры экспорта, в отношении которых подлежит уплате вывозная или особая таможенная пошлина и применяется индикативная цена, определяется на основании индикативной цены, установленной нормативным правовым актом Министерства экономического развития Приднестровской Молдавской Республики на момент осуществления экспорта, исходя из условий поставки CPT.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При перемещении землепользователями товаров и транспортных средств, попадающих под запреты и ограничения в соответствии со статьей 39 Таможенного кодекса Приднестровской Молдавской Республики, </w:t>
      </w:r>
      <w:r>
        <w:rPr/>
        <w:br/>
      </w:r>
      <w:r>
        <w:rPr>
          <w:rFonts w:ascii="times new roman;times" w:hAnsi="times new roman;times"/>
          <w:sz w:val="24"/>
        </w:rPr>
        <w:t>не установленные настоящим Порядком, документы, подтверждающие соблюдение таких запретов и ограничений, в таможенный орган Приднестровской Молдавской Республики не предоставляются.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Порядку перемещения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через таможенную границу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товаров и транспортных средств землепользователями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Дубоссарского района, прошедшими процедуру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специальной упрощенной регистрации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товаров,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относимых к зерновым, масличным и техническим культурам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431"/>
        <w:gridCol w:w="737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товара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0909 21 000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кориандра недробленые и немолотые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0909 31 000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тмина римского, или тмина волошского, недробленые и немолотые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 0909 61 000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тмина недробленые и немолотые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Пшеница и меслин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Рожь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Ячмень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Овес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Кукуруза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Сорго зерновое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1008 10 000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Гречиха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1008 21 000-1008 29 000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Просо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1008 60 000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Тритикале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 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Соевые бобы недробленые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 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льна недробленые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 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рапса недробленые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 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подсолнечника недробленые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горчицы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1207 60 000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сафлора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из 1207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Семена расторопши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12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8%20%D1%8F%D0%BD%D0%B2%D0%B0%D1%80%D1%8F%202024%20%D0%B3%D0%BE%D0%B4%D0%B0%20%E2%84%96%2012%20%C2%AB%D0%9E%D0%B1%20%D1%83%D1%80%D0%B5%D0%B3%D1%83%D0%BB%D0%B8%D1%80%D0%BE%D0%B2%D0%B0%D0%BD%D0%B8%D0%B8%20%D0%B2%D0%BE%D0%BF%D1%80%D0%BE%D1%81%D0%BE%D0%B2%20%D0%B7%D0%B5%D0%BC%D0%BB%D0%B5%D0%BF%D0%BE%D0%BB%D1%8C%D0%B7%D0%BE%D0%B2%D0%B0%D0%BD%D0%B8%D1%8F%20%D0%B2%20%D0%94%D1%83%D0%B1%D0%BE%D1%81%D1%81%D0%B0%D1%80%D1%81%D0%BA%D0%BE%D0%BC%20%D1%80%D0%B0%D0%B9%D0%BE%D0%BD%D0%B5%C2%BB%20%28%D0%A1%D0%90%D0%97%2024-3%29" TargetMode="External"/><Relationship Id="rId8" Type="http://schemas.openxmlformats.org/officeDocument/2006/relationships/hyperlink" Target="documents/search/doc-link/?q=%D0%BE%D1%82%2014%20%D0%BC%D0%B0%D1%80%D1%82%D0%B0%202024%20%D0%B3%D0%BE%D0%B4%D0%B0%20%E2%84%96%201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963</Words>
  <Characters>7489</Characters>
  <CharactersWithSpaces>8427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