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Генеральных условиях эмиссии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обращения 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4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1999 года № 224-З «О государственном долге и государственных гарантиях»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2002 года № 280 «Об утверждении Положения об особенностях эмиссии и обращения государственных и муниципальных ценных бумаг» (САЗ 02-16)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Указом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 2012 года № 215 (САЗ 12-14)</w:t>
        </w:r>
      </w:hyperlink>
      <w:r>
        <w:rPr>
          <w:rFonts w:ascii="times new roman;times" w:hAnsi="times new roman;times"/>
          <w:sz w:val="24"/>
        </w:rPr>
        <w:t xml:space="preserve">, в целях утверждения Генеральных условий эмиссии и обращения государственной долгосрочной дисконтной облигации, выпускаемой в 2024 году,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Министерству финансов Приднестровской Молдавской Республики осуществить выпуск в 2024 году государственной долгосрочной дисконтной облигации.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Утвердить Генеральные условия эмиссии и обращения государственной долгосрочной дисконтной облигации, выпускаемой </w:t>
      </w:r>
      <w:r>
        <w:rPr/>
        <w:br/>
      </w:r>
      <w:r>
        <w:rPr>
          <w:rFonts w:ascii="times new roman;times" w:hAnsi="times new roman;times"/>
          <w:sz w:val="24"/>
        </w:rPr>
        <w:t>в 2024 году,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ноября 2024 года № 452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Генеральные условия эмиссии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обращения 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Генеральные условия разработаны в соответствии с пунктом 3 статьи 4 Закона Приднестровской Молдавской Республики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 на 2024 год» (САЗ 24-1)</w:t>
        </w:r>
      </w:hyperlink>
      <w:r>
        <w:rPr>
          <w:rFonts w:ascii="times new roman;times" w:hAnsi="times new roman;times"/>
          <w:sz w:val="24"/>
        </w:rPr>
        <w:t xml:space="preserve"> и определяют порядок эмиссии, обращения и погашения выпускаемой в 2024 году государственной ценной бумаги, номинальная стоимость которой выражена в национальной валюте Приднестровской Молдавской Республики, в виде государственной долгосрочной дисконтной облигации (далее – облигация).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Эмитентом облигации от имени Приднестровской Молдавской Республики выступает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Облигация является именной бескупонной государственной ценной бумагой, выпускаемой в документарной форме без обязательного централизованного 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 срокам обращения облигация является долгосрочным долговым обязательством Приднестровской Молдавской Республики со сроком обращения 25 (двадцать пять)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Стоимость облигации выражается в национальной валюте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6. Размещение облигации осуществляется по закрытой подписке в соответствии с законодательством Приднестровской Молдавской Республики путем заключения договора купли-продажи между эмитентом и Приднестровским республиканским банком.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Объем выпуска определяется эмитентом исходя из предельного объема эмиссии облигации, указанного в пункте 3 статьи 4 Закона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 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 основании настоящих Генеральных условий эмитентом утверждаются условия эмиссии и обращения облигации (далее – условия эмиссии)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настоящими Генеральными условиями и условиями эмиссии эмитентом принимается решение об эмиссии выпуска облигации 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9. Денежные средства, полученные эмитентом от размещения облигации, расходуются в порядке, установленном пунктом 3 статьи 4 Закона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10. Доходом по облигации является дисконт, размер которого установлен пунктом 3 статьи 4 Закона Приднестровской Молдавской Республики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 на 2024 год» (САЗ 24-1)</w:t>
        </w:r>
      </w:hyperlink>
      <w:r>
        <w:rPr>
          <w:rFonts w:ascii="times new roman;times" w:hAnsi="times new roman;times"/>
          <w:sz w:val="24"/>
        </w:rPr>
        <w:t xml:space="preserve">. Доход по облигации не может быть изменен в течение всего срока обращения облигации.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Владелец облигации приобретает облигацию с дисконтом и при погашении облигации по окончании срока обращения имеет право </w:t>
      </w:r>
      <w:r>
        <w:rPr/>
        <w:br/>
      </w:r>
      <w:r>
        <w:rPr>
          <w:rFonts w:ascii="times new roman;times" w:hAnsi="times new roman;times"/>
          <w:sz w:val="24"/>
        </w:rPr>
        <w:t>на получение суммы основного долга (номинальной стоимости).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Облигация не может предъявляться к досрочному погашению, если иное не предусмотрено законом Приднестровской Молдавской Республики 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Облигация может быть выкуплена эмитентом до срока ее погашения, если указанный выкуп предусмотрен решением о выпуске и законом Приднестровской Молдавской Республики о республиканском бюджете 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Министерство финансов Приднестровской Молдавской Республики является агентом по обслуживанию облигации и производит погашение номинальной стоимости облигации в соответствии с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Эмиссия облигации, выпуск которой осуществляется в порядке, установленном настоящими Генеральными условиями, подлежит государственной регистрации в Министерстве экономического развития Приднестровской Молдавской Республики.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29%20%D0%B4%D0%B5%D0%BA%D0%B0%D0%B1%D1%80%D1%8F%201999%20%D0%B3%D0%BE%D0%B4%D0%B0%20%E2%84%96%20224-%D0%97%C2%A0%C2%AB%D0%9E%20%D0%B3%D0%BE%D1%81%D1%83%D0%B4%D0%B0%D1%80%D1%81%D1%82%D0%B2%D0%B5%D0%BD%D0%BD%D0%BE%D0%BC%20%D0%B4%D0%BE%D0%BB%D0%B3%D0%B5%20%D0%B8%20%D0%B3%D0%BE%D1%81%D1%83%D0%B4%D0%B0%D1%80%D1%81%D1%82%D0%B2%D0%B5%D0%BD%D0%BD%D1%8B%D1%85%20%D0%B3%D0%B0%D1%80%D0%B0%D0%BD%D1%82%D0%B8%D1%8F%D1%85%C2%BB" TargetMode="External"/><Relationship Id="rId8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20%28%D0%A1%D0%90%D0%97%2002-32%29" TargetMode="External"/><Relationship Id="rId9" Type="http://schemas.openxmlformats.org/officeDocument/2006/relationships/hyperlink" Target="documents/search/doc-link/?q=%D0%BE%D1%82%2017%20%D0%B0%D0%BF%D1%80%D0%B5%D0%BB%D1%8F%202002%20%D0%B3%D0%BE%D0%B4%D0%B0%20%E2%84%96%20280%20%C2%AB%D0%9E%D0%B1%20%D1%83%D1%82%D0%B2%D0%B5%D1%80%D0%B6%D0%B4%D0%B5%D0%BD%D0%B8%D0%B8%20%D0%9F%D0%BE%D0%BB%D0%BE%D0%B6%D0%B5%D0%BD%D0%B8%D1%8F%20%D0%BE%D0%B1%20%D0%BE%D1%81%D0%BE%D0%B1%D0%B5%D0%BD%D0%BD%D0%BE%D1%81%D1%82%D1%8F%D1%85%20%D1%8D%D0%BC%D0%B8%D1%81%D1%81%D0%B8%D0%B8%20%D0%B8%20%D0%BE%D0%B1%D1%80%D0%B0%D1%89%D0%B5%D0%BD%D0%B8%D1%8F%20%D0%B3%D0%BE%D1%81%D1%83%D0%B4%D0%B0%D1%80%D1%81%D1%82%D0%B2%D0%B5%D0%BD%D0%BD%D1%8B%D1%85%C2%A0%D0%B8%20%D0%BC%D1%83%D0%BD%D0%B8%D1%86%D0%B8%D0%BF%D0%B0%D0%BB%D1%8C%D0%BD%D1%8B%D1%85%20%D1%86%D0%B5%D0%BD%D0%BD%D1%8B%D1%85%20%D0%B1%D1%83%D0%BC%D0%B0%D0%B3%C2%BB%20%28%D0%A1%D0%90%D0%97%2002-16%29" TargetMode="External"/><Relationship Id="rId10" Type="http://schemas.openxmlformats.org/officeDocument/2006/relationships/hyperlink" Target="documents/search/doc-link/?q=%D0%BE%D1%82%2027%20%D0%BC%D0%B0%D1%80%D1%82%D0%B0%C2%A02012%20%D0%B3%D0%BE%D0%B4%D0%B0%20%E2%84%96%20215%20%28%D0%A1%D0%90%D0%97%2012-14%29" TargetMode="External"/><Relationship Id="rId11" Type="http://schemas.openxmlformats.org/officeDocument/2006/relationships/hyperlink" Target="documents/search/doc-link/?q=%D0%BE%D1%82%2018%20%D0%BD%D0%BE%D1%8F%D0%B1%D1%80%D1%8F%202024%20%D0%B3%D0%BE%D0%B4%D0%B0%20%E2%84%96%20452" TargetMode="External"/><Relationship Id="rId12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C2%A0%D0%BD%D0%B0%202024%20%D0%B3%D0%BE%D0%B4%C2%BB%20%28%D0%A1%D0%90%D0%97%2024-1%29" TargetMode="External"/><Relationship Id="rId13" Type="http://schemas.openxmlformats.org/officeDocument/2006/relationships/hyperlink" Target="documents/search/doc-link/?q=%D0%BE%D1%82%2028%20%D0%B4%D0%B5%D0%BA%D0%B0%D0%B1%D1%80%D1%8F%202023%20%D0%B3%D0%BE%D0%B4%D0%B0%20%E2%84%96%20436-%D0%97-VII%C2%A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690</Words>
  <Characters>4927</Characters>
  <CharactersWithSpaces>5643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