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проведении в 2025–2026 годах налогового эксперимента</w:t>
      </w:r>
    </w:p>
    <w:p>
      <w:pPr>
        <w:pStyle w:val="BodyTextoutside-table"/>
        <w:bidi w:val="0"/>
        <w:spacing w:before="0" w:after="283"/>
        <w:ind w:firstLine="709" w:left="0" w:right="0"/>
        <w:jc w:val="center"/>
        <w:rPr/>
      </w:pPr>
      <w:r>
        <w:rPr>
          <w:rStyle w:val="Strong"/>
          <w:rFonts w:ascii="times new roman;times" w:hAnsi="times new roman;times"/>
          <w:sz w:val="24"/>
        </w:rPr>
        <w:t xml:space="preserve">по предоставлению отдельным категориям налогоплательщиков </w:t>
      </w:r>
    </w:p>
    <w:p>
      <w:pPr>
        <w:pStyle w:val="BodyTextoutside-table"/>
        <w:bidi w:val="0"/>
        <w:spacing w:before="0" w:after="283"/>
        <w:ind w:firstLine="709" w:left="0" w:right="0"/>
        <w:jc w:val="center"/>
        <w:rPr/>
      </w:pPr>
      <w:r>
        <w:rPr>
          <w:rStyle w:val="Strong"/>
          <w:rFonts w:ascii="times new roman;times" w:hAnsi="times new roman;times"/>
          <w:sz w:val="24"/>
        </w:rPr>
        <w:t xml:space="preserve">права на применение особого порядка исчисления платежей </w:t>
      </w:r>
    </w:p>
    <w:p>
      <w:pPr>
        <w:pStyle w:val="BodyTextoutside-table"/>
        <w:bidi w:val="0"/>
        <w:spacing w:before="0" w:after="283"/>
        <w:ind w:firstLine="709" w:left="0" w:right="0"/>
        <w:jc w:val="center"/>
        <w:rPr/>
      </w:pPr>
      <w:r>
        <w:rPr>
          <w:rStyle w:val="Strong"/>
          <w:rFonts w:ascii="times new roman;times" w:hAnsi="times new roman;times"/>
          <w:sz w:val="24"/>
        </w:rPr>
        <w:t xml:space="preserve">за загрязнение окружающей природной среды </w:t>
      </w:r>
    </w:p>
    <w:p>
      <w:pPr>
        <w:pStyle w:val="BodyTextoutside-table"/>
        <w:bidi w:val="0"/>
        <w:spacing w:before="0" w:after="283"/>
        <w:ind w:firstLine="709" w:left="0" w:right="0"/>
        <w:jc w:val="center"/>
        <w:rPr/>
      </w:pPr>
      <w:r>
        <w:rPr>
          <w:rStyle w:val="Strong"/>
          <w:rFonts w:ascii="times new roman;times" w:hAnsi="times new roman;times"/>
          <w:sz w:val="24"/>
        </w:rPr>
        <w:t>и пользование природными ресурсами»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4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w:t>
      </w:r>
      <w:r>
        <w:rPr>
          <w:rFonts w:ascii="times new roman;times" w:hAnsi="times new roman;times"/>
          <w:sz w:val="24"/>
        </w:rPr>
        <w:t xml:space="preserve"> Общие положения о проведении налогового эксперимента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Налоговый эксперимент, установленный настоящим Законом, проводится в целях улучшения условий осуществления предпринимательской деятельности в Приднестровской Молдавской Республике посредством комплексного упрощения порядка исчисления платежей за загрязнение окружающей природной среды и пользование природными ресурсами, а также упрощения экологической отчетности.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Налоговый эксперимент заключается в предоставлении права на применение особого порядка исчисления платежей за загрязнение окружающей природной среды и пользование природными ресурсами, а также упрощения экологической отчетности (далее – налоговый эксперимент) и проводится на всей территории Приднестровской Молдавской Республики в отношении налогоплательщиков, указанных в статье 2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Особый порядок исчисления платежей за загрязнение окружающей природной среды и пользование природными ресурсами в рамках налогового эксперимента представляет собой замену платежей за загрязнение окружающей природной среды и пользование природными ресурсами,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совокупным экологическим платежом.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Переход к особому порядку исчисления платежей за загрязнение окружающей природной среды и пользование природными ресурсами осуществляется субъектами налогового эксперимента добровольно в порядке, предусмотренном настоящим Законом.</w:t>
      </w:r>
    </w:p>
    <w:p>
      <w:pPr>
        <w:pStyle w:val="BodyTextoutside-table"/>
        <w:bidi w:val="0"/>
        <w:spacing w:before="0" w:after="283"/>
        <w:ind w:firstLine="709" w:left="0" w:right="0"/>
        <w:jc w:val="left"/>
        <w:outlineLvl w:val="1"/>
        <w:rPr/>
      </w:pPr>
      <w:r>
        <w:rPr>
          <w:rFonts w:ascii="times new roman;times" w:hAnsi="times new roman;times"/>
          <w:sz w:val="24"/>
        </w:rPr>
        <w:t xml:space="preserve">3. Особый порядок исчисления платежей за загрязнение окружающей природной среды и пользование природными ресурсами применяется к платежам за загрязнение окружающей природной среды и пользование природными ресурсами, исчисляемым за период с 1 января 2025 года </w:t>
      </w:r>
      <w:r>
        <w:rPr/>
        <w:br/>
      </w:r>
      <w:r>
        <w:rPr>
          <w:rFonts w:ascii="times new roman;times" w:hAnsi="times new roman;times"/>
          <w:sz w:val="24"/>
        </w:rPr>
        <w:t>по 31 декабря 2026 года.</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 </w:t>
      </w:r>
      <w:r>
        <w:rPr>
          <w:rFonts w:ascii="times new roman;times" w:hAnsi="times new roman;times"/>
          <w:sz w:val="24"/>
        </w:rPr>
        <w:t>Субъекты налогового эксперимента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Субъектами налогового эксперимента признаются организации, применяющие общий налоговый режим: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организации, осуществляющие деятельность, относящуюся к разделам (группам, классам) Классификатора видов экономической деятельности Приднестровской Молдавской Республики согласно Приложению № 1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организации, являющиеся плательщиками налога на доходы организаций по ставкам, установленным для следующих видов деятельности отрасли «сельское хозяйство»: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сельскохозяйственное производство;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обслуживание сельского хозяйства;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другие по обслуживанию сельского хозяйства;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организации, являющиеся плательщиками налога на доходы организаций по ставкам, установленным для следующих видов деятельности отрасли «строительство»: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специализированные монтажные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специализированные, общестроительные, сантехмонтажные и другие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капитальный ремонт зданий и сооружений производственного назначения;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ремонт зданий и сооружений непроизводственного назначения, ремонт жилищ (квартир) по заказам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строительство жилищ (квартир), в том числе реализованных по договорам долевого участия;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организации, являющиеся плательщиками налога на доходы организаций по ставке, установленной для вида деятельности отрасли «здравоохранение и социальное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организации, являющиеся плательщиками налога на доходы организаций по ставке, установленной для вида деятельности «общественное питание».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Субъектами налогового эксперимента также признаются организации, применяющие упрощенную систему налогообложения, независимо от видов осуществляемой деятельности.</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3. </w:t>
      </w:r>
      <w:r>
        <w:rPr>
          <w:rFonts w:ascii="times new roman;times" w:hAnsi="times new roman;times"/>
          <w:sz w:val="24"/>
        </w:rPr>
        <w:t>Правовые механизмы реализации налогового эксперимента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Объектом налогообложения в рамках настоящего Закона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субъектов налогового эксперимента, установленных пунктом 1 статьи 2 настоящего Закона, – общая сумма дохода, являющегося объектом налогообложения налогом на доходы организаций в соответствии с подпунктом а) статьи 3 Закона Приднестровской Молдавской Республики «О налоге на доходы организаций», без учета особенностей определения объекта налогообложения, установленных указанным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субъектов налогового эксперимента, установленных пунктом 2 статьи 2 настоящего Закона, – сумма выручки, являющейся объектом налогообложения по налогу с выручки в соответствии со статьей 6 Закона Приднестровской Молдавской Республики «Специальный налоговый режим – упрощенная система налогообложения».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Совокупный экологический платеж исчисляется ежеквартально:</w:t>
      </w:r>
    </w:p>
    <w:p>
      <w:pPr>
        <w:pStyle w:val="BodyTextoutside-table"/>
        <w:bidi w:val="0"/>
        <w:spacing w:before="0" w:after="283"/>
        <w:ind w:firstLine="709" w:left="0" w:right="0"/>
        <w:jc w:val="left"/>
        <w:rPr/>
      </w:pPr>
      <w:r>
        <w:rPr>
          <w:rFonts w:ascii="times new roman;times" w:hAnsi="times new roman;times"/>
          <w:sz w:val="24"/>
        </w:rPr>
        <w:t xml:space="preserve">а) субъектами налогового эксперимента, установленными подпунктом а) пункта 1 статьи 2 настоящего Закона, – по ставке в размере 0,02 процента </w:t>
      </w:r>
      <w:r>
        <w:rPr/>
        <w:br/>
      </w:r>
      <w:r>
        <w:rPr>
          <w:rFonts w:ascii="times new roman;times" w:hAnsi="times new roman;times"/>
          <w:sz w:val="24"/>
        </w:rPr>
        <w:t>от объекта налогообложения, установленного настоящим Законом, за соответствующий квартал отчетного года, но не менее 1/4 от начисленной суммы платежей за загрязнение окружающей природной среды и пользование природными ресурсами за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субъектами налогового эксперимента, установленными подпунктом б) пункта 1 статьи 2 настоящего Закона, – по ставке в размере 0,2 процента от объекта налогообложения, установленного настоящим Законом, за соответствующий квартал отчетного года, но не менее 1/4 от начисленной суммы платежей за загрязнение окружающей природной среды и пользование природными ресурсами за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субъектами налогового эксперимента, установленными подпунктами в)–д) пункта 1 статьи 2 и пунктом 2 статьи 2 настоящего Закона, – по ставке в размере 0,2 процента от объекта налогообложения, установленного настоящим Законом, за соответствующий квартал отчетного года, но не менее 1/4 от начисленной суммы платежей за загрязнение окружающей природной среды и пользование природными ресурсами за 2023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Организации, применяющие общий налоговый режим, получают право на применение особого порядка исчисления платежей за загрязнение окружающей природной среды и пользование природными ресурсами, установленного настоящим Законом, при условии соблюдения одного из следующих условий:</w:t>
      </w:r>
    </w:p>
    <w:p>
      <w:pPr>
        <w:pStyle w:val="BodyTextoutside-table"/>
        <w:bidi w:val="0"/>
        <w:spacing w:before="0" w:after="283"/>
        <w:ind w:firstLine="709" w:left="0" w:right="0"/>
        <w:jc w:val="left"/>
        <w:rPr/>
      </w:pPr>
      <w:r>
        <w:rPr>
          <w:rFonts w:ascii="times new roman;times" w:hAnsi="times new roman;times"/>
          <w:sz w:val="24"/>
        </w:rPr>
        <w:t xml:space="preserve">а) сумма дохода, являющегося объектом налогообложения в соответствии с настоящим Законом, по обозначенным в подпункте а) пункта 1 статьи 2 настоящего Закона видам деятельности (разделам, группам, классам) составляет не менее 80 процентов от общей суммы дохода (выручки от реализации продукции (товаров, выполнения работ, оказания услуг), </w:t>
      </w:r>
      <w:r>
        <w:rPr/>
        <w:br/>
      </w:r>
      <w:r>
        <w:rPr>
          <w:rFonts w:ascii="times new roman;times" w:hAnsi="times new roman;times"/>
          <w:sz w:val="24"/>
        </w:rPr>
        <w:t>других операционных доходов (за исключением доходов от курсовых валютных разниц, субсидий и дотаций, выделяемых из консолидированного бюджета), доходов от инвестиционной деятельности и доходов от финансовой деятельности), рассчитанной в целом за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сумма дохода, являющегося объектом налогообложения в соответствии с настоящим Законом, по обозначенным в подпунктах б)–д) пункта 1 статьи 2 настоящего Закона видам деятельности составляет не менее 80 процентов от общей суммы дохода (выручки от реализации продукции (товаров, выполнения работ, оказания услуг), других операционных доходов (за исключением доходов от курсовых валютных разниц, субсидий и дотаций, выделяемых из консолидированного бюджета), доходов от инвестиционной деятельности и доходов от финансовой деятельности), рассчитанной в целом за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при расчете доли реализации продукции (товаров, работ, услуг) сумма выручки от торговой деятельности организации принимается в виде показателя товарооборота.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случае если общая сумма дохода, являющегося объектом налогообложения в соответствии с настоящим Законом, за соответствующий квартал отчетного года превышает более чем на 10 процентов общую сумму дохода, являющегося объектом налогообложения в соответствии с настоящим Законом, за соответствующий квартал 2023 года, совокупный экологический платеж исчисляется по ставкам, установленным настоящим Законом, но не менее 1/4 от начисленной суммы платежей за загрязнение окружающей природной среды и пользование природными ресурсами за 2023 год, скорректированной на коэффициент, рассчитанный как отношение общей суммы дохода, являющегося объектом налогообложения в соответствии с настоящим Законом, за соответствующий квартал отчетного года к общей сумме дохода, являющегося объектом налогообложения в соответствии с настоящим Законом, за соответствующий квартал 2023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Организации, изъявившие желание перейти на особый порядок исчисления платежей за загрязнение окружающей природной среды и пользование природными ресурсами, обязаны в срок не позднее 14 февраля года, в котором организации планируют воспользоваться данным правом, уведомить о применении особого порядка исчисления платежей исполнительный орган государственной власти, в ведении которого находятся вопросы контроля в сфере экологии, охраны окружающей среды, рационального использования и воспроизводства природных ресурсов, а также налоговый орган по месту постановки на учет, путем подачи соответствующего заявления  посредством государственной информационной системы «Электронная отчетность».</w:t>
      </w:r>
    </w:p>
    <w:p>
      <w:pPr>
        <w:pStyle w:val="BodyTextoutside-table"/>
        <w:bidi w:val="0"/>
        <w:spacing w:before="0" w:after="283"/>
        <w:ind w:firstLine="709" w:left="0" w:right="0"/>
        <w:jc w:val="left"/>
        <w:rPr/>
      </w:pPr>
      <w:r>
        <w:rPr>
          <w:rFonts w:ascii="times new roman;times" w:hAnsi="times new roman;times"/>
          <w:sz w:val="24"/>
        </w:rPr>
        <w:t xml:space="preserve">Налоговый орган в течение 10 (десяти) рабочих дней со дня подачи заявления информирует организацию о возможности участия в налоговом эксперименте, а если по результатам рассмотрения заявления налоговым органом будет выявлено несоответствие условиям, дающим право на применение организацией особого порядка исчисления платежей за загрязнение окружающей природной среды и пользование природными ресурсами, установленного настоящим Законом, налоговый орган в течение </w:t>
      </w:r>
      <w:r>
        <w:rPr/>
        <w:br/>
      </w:r>
      <w:r>
        <w:rPr>
          <w:rFonts w:ascii="times new roman;times" w:hAnsi="times new roman;times"/>
          <w:sz w:val="24"/>
        </w:rPr>
        <w:t>10 (десяти) рабочих дней информирует организацию о невозможности участия данной организации в налоговом эксперименте.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Субъекты налогового эксперимента на период применения особого порядка исчисления платежей за загрязнение окружающей природной среды и пользование природными ресурсами освобождаются 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установления лимитов использования природных ресурсов, выбросов и сбросов загрязняющих веществ в окружающую природную среду и размещения отходов;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обязанности по составлению и предоставлению отчетности, утвержденной в рамках исполнения Закона Приднестровской Молдавской Республики «О платежах за загрязнение окружающей природной среды и пользование природными ресурсами».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Действие льгот по уплате платежей за загрязнение окружающей природной среды и пользование природными ресурсами,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на субъектов налогового эксперимента не распространяется.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Субъекты налогового эксперимента не вправе до окончания налогового периода (года) перейти на иной режим исчисления платежей за загрязнение окружающей природной среды и пользование природными ресурсами.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4. </w:t>
      </w:r>
      <w:r>
        <w:rPr>
          <w:rFonts w:ascii="times new roman;times" w:hAnsi="times new roman;times"/>
          <w:sz w:val="24"/>
        </w:rPr>
        <w:t>Форма предоставления расчета совокупного экологического платежа, а также порядок зачисления исчисленного совокупного экологического платежа в рамках налогового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эксперимента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Исполнительный орган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рамках реализации налогового эксперимента разрабатывает и утверждает форму отчетности без разделения по видам экологических платежей, форму заявления, предусмотренного частью первой пункта 5 статьи 3 настоящего Закона.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Сумма платежей за загрязнение окружающей природной среды и пользование природными ресурсами, исчисленная в виде совокупного экологического платежа в соответствии с настоящим Законом, зачисляется в республиканский бюджет и экологические фонды в виде совокупного экологического платежа без разделения по видам экологических платежей, исходя из удельного веса начисленной суммы платежей за загрязнение окружающей природной среды и пользование природными ресурсами за 2023 год, подлежащей зачислению в республиканский бюджет и экологические фонды, в общей сумме платежей за загрязнение окружающей природной среды и пользование природными ресурсами за 2023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Перечисление совокупного экологического платежа осуществляется в течение 5 (пяти) календарных дней со дня, установленного для предоставления квартальной налоговой отчетности, но не позднее последнего дня месяца, следующего за отчетным.</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5. </w:t>
      </w:r>
      <w:r>
        <w:rPr>
          <w:rFonts w:ascii="times new roman;times" w:hAnsi="times new roman;times"/>
          <w:sz w:val="24"/>
        </w:rPr>
        <w:t>Заключительные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Нормы настоящего Закона не распространяются на организации, которые не осуществляли исчисление и уплату платежей за загрязнение окружающей природной среды и пользование природными ресурсами в 2023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за правильностью и полнотой исчисления платежей за загрязнение окружающей природной среды и пользование природными ресурсами в порядке, установленном настоящим Законом, осуществляет исполнительный орган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6. </w:t>
      </w:r>
      <w:r>
        <w:rPr>
          <w:rFonts w:ascii="times new roman;times" w:hAnsi="times new roman;times"/>
          <w:sz w:val="24"/>
        </w:rPr>
        <w:t>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315-З-VII</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1</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Закону Приднестровской Молдавской Республики</w:t>
      </w:r>
    </w:p>
    <w:p>
      <w:pPr>
        <w:pStyle w:val="BodyTextoutside-table"/>
        <w:bidi w:val="0"/>
        <w:spacing w:before="0" w:after="283"/>
        <w:ind w:firstLine="709" w:left="0" w:right="0"/>
        <w:jc w:val="right"/>
        <w:rPr/>
      </w:pPr>
      <w:r>
        <w:rPr>
          <w:rStyle w:val="Emphasis"/>
          <w:rFonts w:ascii="times new roman;times" w:hAnsi="times new roman;times"/>
        </w:rPr>
        <w:t>«</w:t>
      </w:r>
      <w:r>
        <w:rPr>
          <w:rFonts w:ascii="times new roman;times" w:hAnsi="times new roman;times"/>
        </w:rPr>
        <w:t xml:space="preserve">О проведении в 2025–2026 годах налогового эксперимента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 xml:space="preserve">по предоставлению отдельным категориям налогоплательщиков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права на применение особого порядка исчисления платежей</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за загрязнение окружающей природной среды и пользование природными ресурсами»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Разделы (группы, классы) </w:t>
      </w:r>
    </w:p>
    <w:p>
      <w:pPr>
        <w:pStyle w:val="BodyTextoutside-table"/>
        <w:bidi w:val="0"/>
        <w:spacing w:before="0" w:after="283"/>
        <w:ind w:firstLine="709" w:left="0" w:right="0"/>
        <w:jc w:val="center"/>
        <w:rPr/>
      </w:pPr>
      <w:r>
        <w:rPr>
          <w:rStyle w:val="Strong"/>
          <w:rFonts w:ascii="times new roman;times" w:hAnsi="times new roman;times"/>
          <w:sz w:val="24"/>
        </w:rPr>
        <w:t xml:space="preserve">Классификатора видов экономической деятельности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tbl>
      <w:tblPr>
        <w:tblW w:w="5000" w:type="pct"/>
        <w:jc w:val="left"/>
        <w:tblInd w:w="0" w:type="dxa"/>
        <w:tblLayout w:type="fixed"/>
        <w:tblCellMar>
          <w:top w:w="28" w:type="dxa"/>
          <w:left w:w="28" w:type="dxa"/>
          <w:bottom w:w="28" w:type="dxa"/>
          <w:right w:w="28" w:type="dxa"/>
        </w:tblCellMar>
      </w:tblPr>
      <w:tblGrid>
        <w:gridCol w:w="1299"/>
        <w:gridCol w:w="1323"/>
        <w:gridCol w:w="1130"/>
        <w:gridCol w:w="645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Раздел</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Группа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Класс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Наименование класса (группы)</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18.20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Тиражирование записанных носителей информации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Оптовая и розничная торговля автотранспортными средствами и мотоциклами и их ремонт (за исключением группы 45.2 «Техническое обслуживание и ремонт автотранспортных средств»)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Оптовая торговля, кроме торговли автотранспортными средствами и мотоциклами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Розничная торговля, кроме торговли автотранспортными средствами и мотоциклами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52.10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Хранение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Почтовая и курьерская деятельность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Услуги по временному проживанию</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Издание программного обеспечения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Производство кинофильмов, видеопродукции и телевизионных программ, деятельность в сфере звукозаписи и издания музыкальных произведений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по созданию программ и телерадиовещание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Телекоммуникации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Разработка компьютерного программного обеспечения, консультационные услуги в данной области и другие сопутствующие услуги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в области информационных технологий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Финансовые услуги, кроме услуг по страхованию и пенсионному обеспечению</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Страхование, перестрахование и деятельность пенсионных фондов, кроме обязательного социального страхования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Вспомогательная деятельность по предоставлению финансовых услуг и страхования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головных офисов; консультации по вопросам управления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в области архитектуры, инженерно-технического проектирования; технических испытаний, исследований и анализа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Научные исследования и разработки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74.1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Специализированные работы по дизайну</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Аренда и лизинг</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туристических агентств, туроператоров и прочих организаций, предоставляющих услуги в сфере туризма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по предоставлению офисных административных и вспомогательных услуг; предоставление прочих видов услуг для бизнеса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85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Образование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90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Творческая деятельность, деятельность в области искусства и развлечений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91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библиотек, архивов, музеев и прочая деятельность в области культуры</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по организации азартных игр и заключения пари, организация лотерей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93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Деятельность в области спорта, организации отдыха и развлечений</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1866</Words>
  <Characters>13685</Characters>
  <CharactersWithSpaces>15533</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