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296</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осуществление деятельности в области геологического изучения, использования недр, связанное с добычей полезных ископаемых» (регистрационный № 10608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22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12618</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296</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осуществление деятельности в области геологического изучения, использования недр, связанное с добычей полезных ископаемых» (регистрационный № 10608 от 5 ноября 2021 года) (САЗ 21-44) с изменениями, внесенными Приказом Министерства юстиции Приднестровской Молдавской Республики </w:t>
      </w:r>
      <w:hyperlink r:id="rId31">
        <w:r>
          <w:rPr>
            <w:rFonts w:ascii="times new roman;times" w:hAnsi="times new roman;times"/>
            <w:sz w:val="24"/>
            <w:color w:val="0563C1"/>
            <w:u w:val="single"/>
          </w:rPr>
          <w:t xml:space="preserve">от 28 декабря 2022 года № 373</w:t>
        </w:r>
      </w:hyperlink>
      <w:r>
        <w:rPr>
          <w:rFonts w:ascii="times new roman;times" w:hAnsi="times new roman;times"/>
          <w:sz w:val="24"/>
        </w:rPr>
        <w:t xml:space="preserve"> (регистрационный № 11462 от 29 декабря 2022 года) (САЗ 23-1),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161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21 июня 2024 года № 161</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осуществление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 области геологического изучения, использования недр,</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связанное с добычей полезных ископаемых»</w:t>
      </w:r>
    </w:p>
    <w:p>
      <w:pPr>
        <w:pStyle w:val="BodyTextoutside-table"/>
        <w:bidi w:val="0"/>
        <w:spacing w:before="0" w:after="283"/>
        <w:ind w:firstLine="709" w:left="0" w:right="0"/>
        <w:jc w:val="righ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лицензируемого вида деятельности и срока, в течение которого</w:t>
      </w:r>
    </w:p>
    <w:p>
      <w:pPr>
        <w:pStyle w:val="BodyTextoutside-table"/>
        <w:bidi w:val="0"/>
        <w:spacing w:before="0" w:after="283"/>
        <w:ind w:firstLine="709" w:left="0" w:right="0"/>
        <w:jc w:val="center"/>
        <w:rPr/>
      </w:pPr>
      <w:r>
        <w:rPr>
          <w:rFonts w:ascii="times new roman;times" w:hAnsi="times new roman;times"/>
          <w:sz w:val="24"/>
        </w:rPr>
        <w:t>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21 июня 2024 года № 161</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осуществление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 области геологического изучения, использования недр,</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связанное с добычей полезных ископаемых»</w:t>
      </w:r>
    </w:p>
    <w:p>
      <w:pPr>
        <w:pStyle w:val="BodyTextoutside-table"/>
        <w:bidi w:val="0"/>
        <w:spacing w:before="0" w:after="283"/>
        <w:ind w:firstLine="709" w:left="0" w:right="0"/>
        <w:jc w:val="righ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96"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8%20%D0%B4%D0%B5%D0%BA%D0%B0%D0%B1%D1%80%D1%8F%202022%20%D0%B3%D0%BE%D0%B4%D0%B0%20%E2%84%96%20373" TargetMode="External"/><Relationship Id="rId32" Type="http://schemas.openxmlformats.org/officeDocument/2006/relationships/hyperlink" Target="documents/search/doc-link/?q=%D0%BE%D1%82%2021%20%D0%B8%D1%8E%D0%BD%D1%8F%202024%20%D0%B3%D0%BE%D0%B4%D0%B0%20%E2%84%96%20161"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1493</Words>
  <Characters>12730</Characters>
  <CharactersWithSpaces>14655</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