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291</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утилизация вооружения и военной техники, боеприпасов и их комплектующих» (регистрационный № 10582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12616</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291</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утилизация вооружения и военной техники, боеприпасов и их комплектующих» (регистрационный № 10582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подпункте 1) подпункта в) части первой  пункта 17 Приложения к Приказу слова «права собственности или иного законного основания на использование данных объектов, и соответствие их установленным требованиям» заменить словами «права пользования данными объектами и соответствие их установленным требованиям (копии документов предоставляются в случае отсутствия информации в электронных государственных информационных системах»;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159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159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утилизация вооружения и военной техники,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боеприпасов и их комплектующих»</w:t>
      </w:r>
    </w:p>
    <w:p>
      <w:pPr>
        <w:pStyle w:val="BodyTextoutside-table"/>
        <w:bidi w:val="0"/>
        <w:spacing w:before="0" w:after="283"/>
        <w:ind w:firstLine="709" w:left="0" w:right="0"/>
        <w:jc w:val="center"/>
        <w:rPr/>
      </w:pPr>
      <w:r>
        <w:rPr/>
        <w:br/>
      </w: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t> </w:t>
      </w: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159</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 лицам на вид деятельности: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утилизация вооружения и военной техники, боеприпасов и их комплектующих»</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1"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1%20%D0%B8%D1%8E%D0%BD%D1%8F%202024%20%D0%B3%D0%BE%D0%B4%D0%B0%20%E2%84%96%2015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1511</Words>
  <Characters>12827</Characters>
  <CharactersWithSpaces>14708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