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ноября 2015 года № 303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выполнению маркшейдерских работ»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2000 года № 266-З 
«О недрах» (СЗМР 00-2)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
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
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
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
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
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2015 года № 303 «Об утверждении Положения 
о лицензировании деятельности по выполнению маркшейдерских работ» 
(САЗ 15-48)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Постановлению изложить в редакции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апреля 2024 года № 208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19 ноября 2015 года № 303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выполнению маркшейдерских работ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Настоящее Положение о лицензировании деятельности по выполнению маркшейдерских работ (далее – Положение) определяет порядок лицензирования деятельности по выполнению маркшейдерских работ (далее –лицензируемая деятельность), содержит исчерпывающий перечень документов, лицензионных требований и условий, предъявляемых к соискателям лицензий </w:t>
      </w:r>
      <w:r>
        <w:rPr/>
        <w:br/>
      </w:r>
      <w:r>
        <w:rPr>
          <w:rFonts w:ascii="times new roman;times" w:hAnsi="times new roman;times"/>
          <w:sz w:val="24"/>
        </w:rPr>
        <w:t>и лицензиатам.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Деятельность, связанная с выполнением маркшейдерских работ, включает в себя: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создание маркшейдерских опорных и съемочных сетей;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создание маркшейдерских сетей для наблюдения за сдвижением земной поверхности, деформациями горных выработок, зданий, сооружений </w:t>
      </w:r>
      <w:r>
        <w:rPr/>
        <w:br/>
      </w:r>
      <w:r>
        <w:rPr>
          <w:rFonts w:ascii="times new roman;times" w:hAnsi="times new roman;times"/>
          <w:sz w:val="24"/>
        </w:rPr>
        <w:t>и объектов при осуществлении работ, связанных с пользованием недрами;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пространственно-геометрические измерения горных разработок </w:t>
      </w:r>
      <w:r>
        <w:rPr/>
        <w:br/>
      </w:r>
      <w:r>
        <w:rPr>
          <w:rFonts w:ascii="times new roman;times" w:hAnsi="times new roman;times"/>
          <w:sz w:val="24"/>
        </w:rPr>
        <w:t>и объектов, связанных с пользованием недрами, зданий и сооружений, определение их параметров, местоположения и соответствия проектной документации, а также наблюдения за состоянием горных отводов;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учет и обоснование объемов горных разработок;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ведение горной графической маркшейдерской документации;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обоснование границ горных отводов, определение опасных зон горных разработок, мер по охране горных разработок, зданий, сооружений и объектов от воздействия работ, связанных с пользованием недрами;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проектирование маркшейдерских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В качестве соискателя лицензии на осуществление лицензируемой деятельности может выступать юридическое лицо, обратившееся в орган, уполномоченный на оформление и выдачу лицензий на осуществление деятельности по выполнению маркшейдерских работ (далее – лицензия), </w:t>
      </w:r>
      <w:r>
        <w:rPr/>
        <w:br/>
      </w:r>
      <w:r>
        <w:rPr>
          <w:rFonts w:ascii="times new roman;times" w:hAnsi="times new roman;times"/>
          <w:sz w:val="24"/>
        </w:rPr>
        <w:t>с заявлением о выдаче лицензии на осуществление лицензируемой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Лицензионный сбор за выдачу лицензии взимается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5 (пять) лет – в размере 400 (четырехсот)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5 (пяти) до 10 (десяти) лет – в размере 800 (восьмисот)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свыше 10 (десяти) лет, в том числе бессрочно, – в размере 1 000 (одной тысячи) расчетных уровней минимальной заработной платы.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Срок действия лицензии определяется по заявлению соискателя лицензии (лицензиата), но не может быть менее 5 (пяти)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Срок действия лицензии может быть продлен по заявлению лицензиата </w:t>
      </w:r>
      <w:r>
        <w:rPr/>
        <w:br/>
      </w:r>
      <w:r>
        <w:rPr>
          <w:rFonts w:ascii="times new roman;times" w:hAnsi="times new roman;times"/>
          <w:sz w:val="24"/>
        </w:rPr>
        <w:t>в порядке, установленном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получения лицензии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Для получения лицензии соискатель лицензии представляет в орган, уполномоченный на оформление и выдачу лицензии, следующие документы </w:t>
      </w:r>
      <w:r>
        <w:rPr/>
        <w:br/>
      </w:r>
      <w:r>
        <w:rPr>
          <w:rFonts w:ascii="times new roman;times" w:hAnsi="times new roman;times"/>
          <w:sz w:val="24"/>
        </w:rPr>
        <w:t>и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о выдаче лицензии с указанием: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наименования и организационно-правовой формы юридического лица, места его нахождения (с указанием территориально обособленных объектов), </w:t>
      </w:r>
      <w:r>
        <w:rPr/>
        <w:br/>
      </w:r>
      <w:r>
        <w:rPr>
          <w:rFonts w:ascii="times new roman;times" w:hAnsi="times new roman;times"/>
          <w:sz w:val="24"/>
        </w:rPr>
        <w:t>а также государственной регистрации соискателя лицензии в качестве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лицензируемого вида деятельности, который соискатель лицензии намерен осуществлять, и срока, в течение которого будет осуществляться указанный вид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лица, совместно </w:t>
      </w:r>
      <w:r>
        <w:rPr/>
        <w:br/>
      </w:r>
      <w:r>
        <w:rPr>
          <w:rFonts w:ascii="times new roman;times" w:hAnsi="times new roman;times"/>
          <w:sz w:val="24"/>
        </w:rPr>
        <w:t>с нотариально заверенным переводом на русский язык, – для иностранных юридических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 наличии объектов, в которых или с помощью которых будет осуществляться лицензируемая деятельность: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сведения о наличии помещений, необходимых для осуществления лицензируемой деятельности, с приложением заверенных копий документов, удостоверяющих законность владения (пользования) данными объектами, </w:t>
      </w:r>
      <w:r>
        <w:rPr/>
        <w:br/>
      </w:r>
      <w:r>
        <w:rPr>
          <w:rFonts w:ascii="times new roman;times" w:hAnsi="times new roman;times"/>
          <w:sz w:val="24"/>
        </w:rPr>
        <w:t>по форме согласно Приложению № 1 к настоящему Положению (правоустанавливающие документы на объект представляются в рамках межведомственного взаимодействия);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сведения об оборудовании и иных технических средствах, с помощью которых будет осуществляться лицензируемая деятельность, указанных </w:t>
      </w:r>
      <w:r>
        <w:rPr/>
        <w:br/>
      </w:r>
      <w:r>
        <w:rPr>
          <w:rFonts w:ascii="times new roman;times" w:hAnsi="times new roman;times"/>
          <w:sz w:val="24"/>
        </w:rPr>
        <w:t>в подпункте ж) пункта 16 настоящего Положения, по форме согласно Приложению № 2 к настоящему Положению;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сведения о квалификации соискателя лицензии, обеспечивающей осуществление лицензируемого вида деятельности, по форме согласно Приложению № 3 к настоящему Положению, а именно: о наличии специалиста (маркшейдера или техника-маркшейдера), отвечающего требованиям, установленным Приложением к Приказу Министерства по социальной защите и труду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60</w:t>
        </w:r>
      </w:hyperlink>
      <w:r>
        <w:rPr>
          <w:rFonts w:ascii="times new roman;times" w:hAnsi="times new roman;times"/>
          <w:sz w:val="24"/>
        </w:rPr>
        <w:t xml:space="preserve"> «Об утверждении Единого квалификационного справочника должностей руководителей, специалистов и служащих, раздел: «Квалификационные характеристики должностей работников геологии и недропользования»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(САЗ 22-35), или имеющего высшее образование, прошедшего профессиональную переподготовку по направлению «маркшейдерское дело»,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приложением копий документов об образовании.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Требование от соискателя лицензии представления иных документов, не предусмотренных пунктом 6 настоящего Положения, не допускается.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Соискатель лицензии, подписывая заявление о выдаче лицензии, подтверждает подлинность представленных документов и факт предупреждения об ответственности за представление недостоверных или искаженных сведений.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представление недостоверных или искаженных сведений соискатель лицензии несет ответственность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случае, если при приеме заявления о выдаче лицензии выявляется, что необходимые документы представлены не в полном объеме и (или) ненадлежаще оформлены (несоответствие документа в части формы </w:t>
      </w:r>
      <w:r>
        <w:rPr/>
        <w:br/>
      </w:r>
      <w:r>
        <w:rPr>
          <w:rFonts w:ascii="times new roman;times" w:hAnsi="times new roman;times"/>
          <w:sz w:val="24"/>
        </w:rPr>
        <w:t xml:space="preserve">и содержания установленным законодательством Приднестровской Молдавской Республики требованиям, отсутствие подписей уполномоченных лиц, печатей и штампов, утвержденных в установленном порядке), орган, уполномоченный на выдачу лицензии, не принимает такое заявление </w:t>
      </w:r>
      <w:r>
        <w:rPr/>
        <w:br/>
      </w:r>
      <w:r>
        <w:rPr>
          <w:rFonts w:ascii="times new roman;times" w:hAnsi="times new roman;times"/>
          <w:sz w:val="24"/>
        </w:rPr>
        <w:t>и письменно уведомляет соискателя лицензии о необходимости представления в пятидневный срок заявления и документов, которые отсутствуют либо оформлены ненадлежащим образом.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Все документы, представленные в орган, уполномоченный на выдачу лицензии, принимаются по описи, копия которой направляется (вручается) соискателю лицензии с отметкой о дате приема документов. Соискатель лицензии может направить документы в орган, уполномоченный на выдачу лицензии, по почте (с описью вложения) с уведомлением о вручении либо </w:t>
      </w:r>
      <w:r>
        <w:rPr/>
        <w:br/>
      </w:r>
      <w:r>
        <w:rPr>
          <w:rFonts w:ascii="times new roman;times" w:hAnsi="times new roman;times"/>
          <w:sz w:val="24"/>
        </w:rPr>
        <w:t>в электронной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Лицензия выдается в единственном экземпляре.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Орган, уполномоченный на выдачу лицензий, принимает решение </w:t>
      </w:r>
      <w:r>
        <w:rPr/>
        <w:br/>
      </w:r>
      <w:r>
        <w:rPr>
          <w:rFonts w:ascii="times new roman;times" w:hAnsi="times new roman;times"/>
          <w:sz w:val="24"/>
        </w:rPr>
        <w:t>о выдаче или об отказе в выдаче лицензии в срок, не превышающий 3 (трех) рабочих дней со дня получения заявления от соискателя лицензии со всеми необходимыми документами.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 выдаче лицензии направляется (вручается) соискателю лицензии в письменной либо электронной форме с указанием реквизитов банковского счета и срока оплаты лицензионного сбора.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об отказе в выдаче лицензии направляется (вручается) соискателю лицензии в письменной либо электронной форме с указанием причин отказа.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Выдача (направление) лицензии производится в течение 1 (одного) рабочего дня со дня подтверждения оплаты лицензионного сбора за выдачу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Основаниями для отказа в выдаче лицензии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в документах, представленных соискателем лицензии, недостоверной или искаженной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несоответствие соискателя лицензии лицензионным требованиям </w:t>
      </w:r>
      <w:r>
        <w:rPr/>
        <w:br/>
      </w:r>
      <w:r>
        <w:rPr>
          <w:rFonts w:ascii="times new roman;times" w:hAnsi="times new roman;times"/>
          <w:sz w:val="24"/>
        </w:rPr>
        <w:t>и условиям;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невыполнение лицензиатом положений подпунктов а), б) части первой пункта 1 статьи 11, пункта 2 статьи 13 Закона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 (далее – Закон о лицензировании отдельных видов деятельности);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нарушение лицензиатом срока обращения в орган, уполномоченный </w:t>
      </w:r>
      <w:r>
        <w:rPr/>
        <w:br/>
      </w:r>
      <w:r>
        <w:rPr>
          <w:rFonts w:ascii="times new roman;times" w:hAnsi="times new roman;times"/>
          <w:sz w:val="24"/>
        </w:rPr>
        <w:t>на оформление и выдачу лицензии, для переоформления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14. В случаях, установленных частью первой пункта 1 статьи 11 Закона </w:t>
      </w:r>
      <w:r>
        <w:rPr/>
        <w:br/>
      </w:r>
      <w:r>
        <w:rPr>
          <w:rFonts w:ascii="times new roman;times" w:hAnsi="times new roman;times"/>
          <w:sz w:val="24"/>
        </w:rPr>
        <w:t xml:space="preserve">о лицензировании отдельных видов деятельности, лицензиат – юридическое лицо или его правопреемник обязан в течение 30 (тридцати) рабочих дней подать в орган, уполномоченный на выдачу лицензии, заявление </w:t>
      </w:r>
      <w:r>
        <w:rPr/>
        <w:br/>
      </w:r>
      <w:r>
        <w:rPr>
          <w:rFonts w:ascii="times new roman;times" w:hAnsi="times new roman;times"/>
          <w:sz w:val="24"/>
        </w:rPr>
        <w:t>о переоформлении лицензии с приложением соответствующих документов, подтверждающих указанные сведения.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До принятия решения о переоформлении лицензии юридическое лицо или его правопреемник, в случае преобразования юридического лица, вправе осуществлять деятельность на основании ранее выданной лицензии, </w:t>
      </w:r>
      <w:r>
        <w:rPr/>
        <w:br/>
      </w:r>
      <w:r>
        <w:rPr>
          <w:rFonts w:ascii="times new roman;times" w:hAnsi="times new roman;times"/>
          <w:sz w:val="24"/>
        </w:rPr>
        <w:t>но не более 30 (тридцати) дней со дня его регистрации, а в случае утраты лицензии – на основании выданной органом, уполномоченным на выдачу лицензии, справки о приеме документов на переоформление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Переоформление лицензии осуществляется в случаях и порядке, установленных Законом о лицензировании отдельных видов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Лицензионные условия и требования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осуществлении лицензируемой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Лицензионными условиями и требованиями при осуществлении лицензируемой деятельности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соблюдение законодательства Приднестровской Молдавской Республики в сфере лицензируемой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соблюдение законодательства Приднестровской Молдавской Республики в области требований техники безопасности, требований (правил </w:t>
      </w:r>
      <w:r>
        <w:rPr/>
        <w:br/>
      </w:r>
      <w:r>
        <w:rPr>
          <w:rFonts w:ascii="times new roman;times" w:hAnsi="times new roman;times"/>
          <w:sz w:val="24"/>
        </w:rPr>
        <w:t>и норм) по безопасному ведению работ;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соблюдение утвержденных государственных стандартов Приднестровской Молдавской Республики (норм, правил), регламентирующих условия осуществления маркшейдерской деятельности, требования </w:t>
      </w:r>
      <w:r>
        <w:rPr/>
        <w:br/>
      </w:r>
      <w:r>
        <w:rPr>
          <w:rFonts w:ascii="times new roman;times" w:hAnsi="times new roman;times"/>
          <w:sz w:val="24"/>
        </w:rPr>
        <w:t>к составлению и оформлению горной графической маркшейдерской документации;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производство маркшейдерских работ, включая создание маркшейдерских опорных, съемочных сетей и сетей для наблюдения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за сдвижением земной поверхности, деформациями горных выработок, зданий, сооружений и объектов при ведении работ, связанных с пользованием недрами, осуществление пространственных измерений и определений параметров горных разработок, подземных и наземных сооружений, положений участков строительства и (или) эксплуатации объектов (сооружений), границ горных отводов, границ ведения горных и взрывных работ, опасных зон, зон охраны </w:t>
      </w:r>
      <w:r>
        <w:rPr/>
        <w:br/>
      </w:r>
      <w:r>
        <w:rPr>
          <w:rFonts w:ascii="times new roman;times" w:hAnsi="times new roman;times"/>
          <w:sz w:val="24"/>
        </w:rPr>
        <w:t xml:space="preserve">от вредного влияния горных разработок и сдвижения горных пород, контуров предохранительных целиков, разноса бортов карьеров и разрезов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требованиями по проведению маркшейдерских работ, методиками (методами) измерений и установленными показателями точности измерений;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наличие у лицензиата принадлежащих ему на праве собственности или ином законном основании оборудования для производства заявленных работ </w:t>
      </w:r>
      <w:r>
        <w:rPr/>
        <w:br/>
      </w:r>
      <w:r>
        <w:rPr>
          <w:rFonts w:ascii="times new roman;times" w:hAnsi="times new roman;times"/>
          <w:sz w:val="24"/>
        </w:rPr>
        <w:t>и оборудования для обработки результатов измерений и средств измерений, соответствующих классификации по точности и техническим требованиям (условиям) производства маркшейдерских работ,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комплекта геодезического оборудования и инвентаря: штативов, отражателей, трегеров, реек;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геодезических приборов, необходимых для выполнения маркшейдерских работ с приложением документов, подтверждающих их поверку: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прибора для угловых измерений со среднеквадратичной погрешностью измерения горизонтального угла не более 5 (пяти) секунд (теодолиты Т 2, Т 5), электронные тахеометры (Leica 407, 1205, Trimble M3, 3ТА5Р) и им равнозначные;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прибора для линейных измерений с электронно-световой основой: (электронные) рулетки, светодальномеры (ТС 1000, ТС 1600) и им равнозначные;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прибора для определения взаимного высотного положения точек земной поверхности: высокоточные – средняя квадратическая погрешность </w:t>
      </w:r>
      <w:r>
        <w:rPr/>
        <w:br/>
      </w:r>
      <w:r>
        <w:rPr>
          <w:rFonts w:ascii="times new roman;times" w:hAnsi="times new roman;times"/>
          <w:sz w:val="24"/>
        </w:rPr>
        <w:t xml:space="preserve">не более 0,5 мм, точные – средняя квадратическая погрешность не более 3 мм </w:t>
      </w:r>
      <w:r>
        <w:rPr/>
        <w:br/>
      </w:r>
      <w:r>
        <w:rPr>
          <w:rFonts w:ascii="times new roman;times" w:hAnsi="times new roman;times"/>
          <w:sz w:val="24"/>
        </w:rPr>
        <w:t>и технические с погрешностью не более 10 мм (нивелиры Н-05, НВ-1, НС-3, 2НЗЛ, Н-3 и им равнозначные).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наличии электронного тахеометра с техническими возможностями определения взаимного высотного положения точек земной поверхности </w:t>
      </w:r>
      <w:r>
        <w:rPr/>
        <w:br/>
      </w:r>
      <w:r>
        <w:rPr>
          <w:rFonts w:ascii="times new roman;times" w:hAnsi="times new roman;times"/>
          <w:sz w:val="24"/>
        </w:rPr>
        <w:t xml:space="preserve">и производства линейных измерений наличие приборов, указанных </w:t>
      </w:r>
      <w:r>
        <w:rPr/>
        <w:br/>
      </w:r>
      <w:r>
        <w:rPr>
          <w:rFonts w:ascii="times new roman;times" w:hAnsi="times new roman;times"/>
          <w:sz w:val="24"/>
        </w:rPr>
        <w:t>в подпунктах б) и в) настоящего подпункта, не требуется;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комплекта оборудования для выполнения аэро- или наземной фотограмметрической съемки, в том числе оборудования для 3D сканирования (при наличии и в случае его применения);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4) лицензионного программного обеспечения, создающего документы </w:t>
      </w:r>
      <w:r>
        <w:rPr/>
        <w:br/>
      </w:r>
      <w:r>
        <w:rPr>
          <w:rFonts w:ascii="times new roman;times" w:hAnsi="times new roman;times"/>
          <w:sz w:val="24"/>
        </w:rPr>
        <w:t>в цифровом формате «DMF» («Digitals» и другие);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оргтехники для составления, изготовления и размножения планов, составленных по результатам маркшейдерских измерений и съемок;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организация и осуществление производственного контроля </w:t>
      </w:r>
      <w:r>
        <w:rPr/>
        <w:br/>
      </w:r>
      <w:r>
        <w:rPr>
          <w:rFonts w:ascii="times new roman;times" w:hAnsi="times new roman;times"/>
          <w:sz w:val="24"/>
        </w:rPr>
        <w:t>за соблюдением требований промышленной безопасности при ведении горных работ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наличие у лицензиата нормативной, методической, технологической </w:t>
      </w:r>
      <w:r>
        <w:rPr/>
        <w:br/>
      </w:r>
      <w:r>
        <w:rPr>
          <w:rFonts w:ascii="times new roman;times" w:hAnsi="times new roman;times"/>
          <w:sz w:val="24"/>
        </w:rPr>
        <w:t>и технической документации, используемой при производстве маркшейдерских работ;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проведение маркшейдерских наблюдений, достаточных для обеспечения нормального технологического цикла горных работ </w:t>
      </w:r>
      <w:r>
        <w:rPr/>
        <w:br/>
      </w:r>
      <w:r>
        <w:rPr>
          <w:rFonts w:ascii="times new roman;times" w:hAnsi="times new roman;times"/>
          <w:sz w:val="24"/>
        </w:rPr>
        <w:t>и прогнозирования опасных ситуаций, своевременное определение и нанесение на планы горных работ опасных зон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ведение горной графической маркшейдерской документации при осуществлении всех видов пользования недрами и обеспечение ее сохранности;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выполнение работ в соответствии с проектной документацией </w:t>
      </w:r>
      <w:r>
        <w:rPr/>
        <w:br/>
      </w:r>
      <w:r>
        <w:rPr>
          <w:rFonts w:ascii="times new roman;times" w:hAnsi="times new roman;times"/>
          <w:sz w:val="24"/>
        </w:rPr>
        <w:t>на проведение работ, связанных с пользованием недрами, планами и схемами развития горных работ, проектной документацией на производство маркшейдерских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Основания для приостановления, возобновления действия лицензии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Основаниями для приостановления действия лицензии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выявление неоднократных (два и более) нарушений лицензиатом лицензионных требований и условий, предусмотренных пунктом 16 настоящего Положения;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грубое нарушение лицензиатом лицензионных требований и условий, под которым понимается невыполнение лицензиатом лицензионных требований и условий, предусмотренных подпунктами в) и г), подпунктами 1), 2) и 4) подпункта д), подпунктами и) и к) пункта 16 настоящего Положения;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неустранение обстоятельств, повлекших за собой вынесение предписания (предупреждения) об устранении выявленных нарушений при проведении мероприятий по контролю (надзору);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установление факта передачи прав по лицензии другому юридическому лицу, осуществляющему указанный в лицензии вид деятельности без получения в установленном порядке соответствующей лицензии;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обнаружение недостоверных данных в документах, представленных лицензиатом для получения лицензии, после выдачи лицензии;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частичная или временная утрата лицензиатом объекта, в котором или </w:t>
      </w:r>
      <w:r>
        <w:rPr/>
        <w:br/>
      </w:r>
      <w:r>
        <w:rPr>
          <w:rFonts w:ascii="times new roman;times" w:hAnsi="times new roman;times"/>
          <w:sz w:val="24"/>
        </w:rPr>
        <w:t>с помощью которого осуществляется лицензируемая деятельность.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18. Уполномоченный орган государственного контроля (надзора) </w:t>
      </w:r>
      <w:r>
        <w:rPr/>
        <w:br/>
      </w:r>
      <w:r>
        <w:rPr>
          <w:rFonts w:ascii="times new roman;times" w:hAnsi="times new roman;times"/>
          <w:sz w:val="24"/>
        </w:rPr>
        <w:t xml:space="preserve">за соблюдением лицензионных требований при выявлении нарушений норм </w:t>
      </w:r>
      <w:r>
        <w:rPr/>
        <w:br/>
      </w:r>
      <w:r>
        <w:rPr>
          <w:rFonts w:ascii="times new roman;times" w:hAnsi="times new roman;times"/>
          <w:sz w:val="24"/>
        </w:rPr>
        <w:t xml:space="preserve">и требований настоящего Положения устанавливает лицензиату срок устранения обстоятельств, повлекших за собой приостановление действия лицензии. Установленный срок не может превышать 6 (шести) месяцев. Действие лицензии может быть возобновлено в случае устранения обстоятельств, повлекших приостановление действия лицензии. Плата </w:t>
      </w:r>
      <w:r>
        <w:rPr/>
        <w:br/>
      </w:r>
      <w:r>
        <w:rPr>
          <w:rFonts w:ascii="times new roman;times" w:hAnsi="times new roman;times"/>
          <w:sz w:val="24"/>
        </w:rPr>
        <w:t xml:space="preserve">за возобновление действия лицензии не взимается. Срок действия лицензии </w:t>
      </w:r>
      <w:r>
        <w:rPr/>
        <w:br/>
      </w:r>
      <w:r>
        <w:rPr>
          <w:rFonts w:ascii="times new roman;times" w:hAnsi="times new roman;times"/>
          <w:sz w:val="24"/>
        </w:rPr>
        <w:t>на время приостановления ее действия не продлевается.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Лицензиат обязан уведомить в письменной форме уполномоченный орган государственного контроля (надзора) об устранении им обстоятельств, повлекших за собой приостановление действия лицензии. Уполномоченный орган государственного контроля (надзора), приостановивший действие лицензии, принимает решение о возобновлении ее действия и сообщает об этом лицензиату в течение 3 (трех) рабочих дней после получения соответствующего уведомления и проверки устранения обстоятельств, повлекших за собой приостановление действия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В случае неустранения лицензиатом в установленный срок обстоятельств, повлекших за собой приостановление действия лицензии, уполномоченный орган государственного контроля (надзора) обязан обратиться в суд для инициирования процедуры аннулирования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Решение о приостановлении действия лицензии может быть обжаловано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21. О приостановлении лицензии уполномоченные органы государственного контроля (надзора) уведомляют лицензиата. При наличии оснований для аннулирования лицензии уполномоченные органы государственного контроля (надзора) принимают меры к ее аннулированию </w:t>
      </w:r>
      <w:r>
        <w:rPr/>
        <w:br/>
      </w:r>
      <w:r>
        <w:rPr>
          <w:rFonts w:ascii="times new roman;times" w:hAnsi="times new roman;times"/>
          <w:sz w:val="24"/>
        </w:rPr>
        <w:t>в установленном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Аннулирование лицензии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22. Лицензия может быть аннулирована по решению суда на основании заявления уполномоченного органа государственного контроля (надзора) </w:t>
      </w:r>
      <w:r>
        <w:rPr/>
        <w:br/>
      </w:r>
      <w:r>
        <w:rPr>
          <w:rFonts w:ascii="times new roman;times" w:hAnsi="times new roman;times"/>
          <w:sz w:val="24"/>
        </w:rPr>
        <w:t>в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нарушения лицензиатом установленных настоящим Положением лицензионных требований и условий при осуществлении лицензируемой деятельности, повлекших нанесение ущерба правам и законным интересам, жизни и здоровью граждан, обороне и безопасности государства;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неустранения лицензиатом обстоятельств, повлекших за собой приостановление действия лицензии, в указанный срок.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Датой аннулирования лицензии является дата вступления в законную силу решения суда об аннулировании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Решение о направлении заявления об аннулировании лицензии в суд может быть обжаловано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Государственный контроль (надзор) за деятельностью лицензиата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25. Контроль за соблюдением лицензиатом лицензионных требований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условий осуществляется уполномоченными органами (как надзорными, так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лицензирующим органом – исполнительным органом государственной власти, в ведении которого находятся вопросы геологии и недропользования,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пределах установленной компетенции в порядке, предусмотренном Законом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174-З-III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Уполномоченные органы государственного контроля (надзора) имеют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проводить проверки деятельности лицензиата по соблюдению ими лицензионных требований и условий, нормативных правовых актов, регламентирующих их деятельность, в порядке, установленном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запрашивать и получать от лицензиата необходимые объяснения, справки по вопросам, возникающим при проведении проверок;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составлять на основании результатов проверок акты с указанием конкретных нарушений и сроков их устранения;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выносить предписания лицензиату об устранении выявленных нарушений;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принимать решения о приостановлении действия лицензии, возобновлении ее действия, направлении в суд заявления об аннулировании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уполномоченных органов государственного контроля (надзора), проводивших проверку, обязательны для исполнения лицензиатом.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27. При проведении проверок уполномоченными органами государственного контроля (надзора) лицензиат обязан обеспечить условия для проведения проверки, а также представлять необходимую информацию </w:t>
      </w:r>
      <w:r>
        <w:rPr/>
        <w:br/>
      </w:r>
      <w:r>
        <w:rPr>
          <w:rFonts w:ascii="times new roman;times" w:hAnsi="times new roman;times"/>
          <w:sz w:val="24"/>
        </w:rPr>
        <w:t>и документы органам, осуществляющим проверку.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Нарушение лицензиатом лицензионных условий и требований, выявленных в процессе осуществления государственного контроля (надзора), является основанием для применения к нему мер, предусмотренных законодательными актами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выполнению маркшейдерских работ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объектах, необходимых для осуществления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лицензируемого вида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(наименование лицензиата)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88"/>
        <w:gridCol w:w="3735"/>
        <w:gridCol w:w="2938"/>
        <w:gridCol w:w="234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Место нахождения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Заверенные копии документов, удостоверяющих законность владения (пользования) данными объектами, прилагаются.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организации 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 xml:space="preserve">                                                    </w:t>
      </w:r>
      <w:r>
        <w:rPr>
          <w:rStyle w:val="Emphasis"/>
          <w:rFonts w:ascii="times new roman;times" w:hAnsi="times new roman;times"/>
          <w:sz w:val="24"/>
        </w:rPr>
        <w:t>(фамилия, имя, отчество (при наличии), 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«_____» _____________ 20__год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 </w:t>
      </w:r>
      <w:r>
        <w:rPr>
          <w:rStyle w:val="Emphasis"/>
          <w:rFonts w:ascii="times new roman;times" w:hAnsi="times new roman;times"/>
          <w:sz w:val="24"/>
        </w:rPr>
        <w:t>(место печати)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выполнению маркшейдерских работ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оборудовании и технических средствах,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помощью которых будет осуществляться лицензируемый вид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(наименование лицензиата)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0"/>
        <w:gridCol w:w="2220"/>
        <w:gridCol w:w="1021"/>
        <w:gridCol w:w="1225"/>
        <w:gridCol w:w="1737"/>
        <w:gridCol w:w="1846"/>
        <w:gridCol w:w="158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оборудования и технических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Марка/модель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 выпуска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единиц технических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Принадлежность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Копии соответствующих технических паспортов и свидетельств о государственной поверке средств измерений прилагаются.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организации 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 xml:space="preserve">                                                        </w:t>
      </w:r>
      <w:r>
        <w:rPr>
          <w:rStyle w:val="Emphasis"/>
          <w:rFonts w:ascii="times new roman;times" w:hAnsi="times new roman;times"/>
          <w:sz w:val="24"/>
        </w:rPr>
        <w:t>(фамилия, имя, отчество (при наличии), 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«_____» _____________ 20__год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             </w:t>
      </w:r>
      <w:r>
        <w:rPr>
          <w:rStyle w:val="Emphasis"/>
          <w:rFonts w:ascii="times new roman;times" w:hAnsi="times new roman;times"/>
          <w:sz w:val="24"/>
        </w:rPr>
        <w:t>(место печати)              </w:t>
      </w:r>
      <w:r>
        <w:rPr>
          <w:rStyle w:val="Emphasis"/>
          <w:rFonts w:ascii="times new roman;times" w:hAnsi="times new roman;times"/>
        </w:rPr>
        <w:t xml:space="preserve">                                                                                                  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выполнению маркшейдерских работ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квалификации соискателя лицензии (специалистов (работников)), обеспечивающей осуществление лицензируемого вида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(наименование лицензиата)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8"/>
        <w:gridCol w:w="1765"/>
        <w:gridCol w:w="1880"/>
        <w:gridCol w:w="1211"/>
        <w:gridCol w:w="1719"/>
        <w:gridCol w:w="1687"/>
        <w:gridCol w:w="149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должности работника/специалиста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видов работ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согласно Классификатору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Фамилия, имя, отчество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(при наличии)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Образование, наименование организации образования и дата его окончания, специальность, номер диплома, удостоверения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Стаж работы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том числе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данной организации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Копии документов об образовании прилагаются.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организации 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 xml:space="preserve">                                                     </w:t>
      </w:r>
      <w:r>
        <w:rPr>
          <w:rStyle w:val="Emphasis"/>
          <w:rFonts w:ascii="times new roman;times" w:hAnsi="times new roman;times"/>
          <w:sz w:val="24"/>
        </w:rPr>
        <w:t>(фамилия, имя, отчество (при наличии), 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«_____» _____________ 20__год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 xml:space="preserve">              </w:t>
      </w:r>
      <w:r>
        <w:rPr>
          <w:rStyle w:val="Emphasis"/>
          <w:rFonts w:ascii="times new roman;times" w:hAnsi="times new roman;times"/>
          <w:sz w:val="24"/>
        </w:rPr>
        <w:t>(место печати)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D%D0%BE%D1%8F%D0%B1%D1%80%D1%8F%202015%20%D0%B3%D0%BE%D0%B4%D0%B0%20%E2%84%96%2030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6%20%D0%B0%D0%BF%D1%80%D0%B5%D0%BB%D1%8F%202000%20%D0%B3%D0%BE%D0%B4%D0%B0%20%E2%84%96%20266-%D0%97%20%0A%C2%AB%D0%9E%20%D0%BD%D0%B5%D0%B4%D1%80%D0%B0%D1%85%C2%BB%20%28%D0%A1%D0%97%D0%9C%D0%A0%2000-2%29" TargetMode="External"/><Relationship Id="rId9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0A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10" Type="http://schemas.openxmlformats.org/officeDocument/2006/relationships/hyperlink" Target="documents/search/doc-link/?q=%D0%BE%D1%82%2011%20%D0%B8%D1%8E%D0%BD%D1%8F%202018%20%D0%B3%D0%BE%D0%B4%D0%B0%20%E2%84%96%20192%20%0A%28%D0%A1%D0%90%D0%97%2018-24%29" TargetMode="External"/><Relationship Id="rId11" Type="http://schemas.openxmlformats.org/officeDocument/2006/relationships/hyperlink" Target="documents/search/doc-link/?q=%D0%BE%D1%82%2025%20%D0%B8%D1%8E%D0%BB%D1%8F%202019%20%D0%B3%D0%BE%D0%B4%D0%B0%20%E2%84%96%20270%20%28%D0%A1%D0%90%D0%97%2019-28%29" TargetMode="External"/><Relationship Id="rId12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3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4" Type="http://schemas.openxmlformats.org/officeDocument/2006/relationships/hyperlink" Target="documents/search/doc-link/?q=%D0%BE%D1%82%2025%20%D0%BC%D0%B0%D1%80%D1%82%D0%B0%20%0A2020%20%D0%B3%D0%BE%D0%B4%D0%B0%20%E2%84%96%2076%20%28%D0%A1%D0%90%D0%97%2020-13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6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7" Type="http://schemas.openxmlformats.org/officeDocument/2006/relationships/hyperlink" Target="documents/search/doc-link/?q=%D0%BE%D1%82%2028%20%D0%B8%D1%8E%D0%BD%D1%8F%202021%20%D0%B3%D0%BE%D0%B4%D0%B0%20%E2%84%96%20212%20%0A%28%D0%A1%D0%90%D0%97%2021-26%29" TargetMode="External"/><Relationship Id="rId18" Type="http://schemas.openxmlformats.org/officeDocument/2006/relationships/hyperlink" Target="documents/search/doc-link/?q=%D0%BE%D1%82%2016%20%D0%BC%D0%B0%D1%80%D1%82%D0%B0%202022%20%D0%B3%D0%BE%D0%B4%D0%B0%20%E2%84%96%2088%20%28%D0%A1%D0%90%D0%97%2022-10%29" TargetMode="External"/><Relationship Id="rId19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20" Type="http://schemas.openxmlformats.org/officeDocument/2006/relationships/hyperlink" Target="documents/search/doc-link/?q=%D0%BE%D1%82%2028%20%D0%BE%D0%BA%D1%82%D1%8F%D0%B1%D1%80%D1%8F%202022%20%D0%B3%D0%BE%D0%B4%D0%B0%20%E2%84%96%20397%20%28%D0%A1%D0%90%D0%97%2022-43%29" TargetMode="External"/><Relationship Id="rId21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2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3" Type="http://schemas.openxmlformats.org/officeDocument/2006/relationships/hyperlink" Target="documents/search/doc-link/?q=%D0%BE%D1%82%2025%20%D0%BC%D0%B0%D1%8F%202023%20%D0%B3%D0%BE%D0%B4%D0%B0%20%E2%84%96%20177%20%28%D0%A1%D0%90%D0%97%2023-21%29" TargetMode="External"/><Relationship Id="rId24" Type="http://schemas.openxmlformats.org/officeDocument/2006/relationships/hyperlink" Target="documents/search/doc-link/?q=%D0%BE%D1%82%2012%20%D0%BE%D0%BA%D1%82%D1%8F%D0%B1%D1%80%D1%8F%202023%20%D0%B3%D0%BE%D0%B4%D0%B0%20%E2%84%96%20343%20%0A%28%D0%A1%D0%90%D0%97%2023-41%29" TargetMode="External"/><Relationship Id="rId25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6" Type="http://schemas.openxmlformats.org/officeDocument/2006/relationships/hyperlink" Target="documents/search/doc-link/?q=%D0%BE%D1%82%2019%20%D0%BD%D0%BE%D1%8F%D0%B1%D1%80%D1%8F%202015%20%D0%B3%D0%BE%D0%B4%D0%B0%20%E2%84%96%20303%20%C2%AB%D0%9E%D0%B1%20%D1%83%D1%82%D0%B2%D0%B5%D1%80%D0%B6%D0%B4%D0%B5%D0%BD%D0%B8%D0%B8%20%D0%9F%D0%BE%D0%BB%D0%BE%D0%B6%D0%B5%D0%BD%D0%B8%D1%8F%20%0A%D0%BE%20%D0%BB%D0%B8%D1%86%D0%B5%D0%BD%D0%B7%D0%B8%D1%80%D0%BE%D0%B2%D0%B0%D0%BD%D0%B8%D0%B8%20%D0%B4%D0%B5%D1%8F%D1%82%D0%B5%D0%BB%D1%8C%D0%BD%D0%BE%D1%81%D1%82%D0%B8%20%D0%BF%D0%BE%20%D0%B2%D1%8B%D0%BF%D0%BE%D0%BB%D0%BD%D0%B5%D0%BD%D0%B8%D1%8E%20%D0%BC%D0%B0%D1%80%D0%BA%D1%88%D0%B5%D0%B9%D0%B4%D0%B5%D1%80%D1%81%D0%BA%D0%B8%D1%85%20%D1%80%D0%B0%D0%B1%D0%BE%D1%82%C2%BB%20%0A%28%D0%A1%D0%90%D0%97%2015-48%29" TargetMode="External"/><Relationship Id="rId27" Type="http://schemas.openxmlformats.org/officeDocument/2006/relationships/hyperlink" Target="documents/search/doc-link/?q=%D0%BE%D1%82%2029%20%D0%B0%D0%BF%D1%80%D0%B5%D0%BB%D1%8F%202024%20%D0%B3%D0%BE%D0%B4%D0%B0%20%E2%84%96%20208" TargetMode="External"/><Relationship Id="rId28" Type="http://schemas.openxmlformats.org/officeDocument/2006/relationships/hyperlink" Target="documents/search/doc-link/?q=%D0%BE%D1%82%2025%20%D0%B8%D1%8E%D0%BB%D1%8F%202022%20%D0%B3%D0%BE%D0%B4%D0%B0%20%E2%84%96%2060" TargetMode="External"/><Relationship Id="rId29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30" Type="http://schemas.openxmlformats.org/officeDocument/2006/relationships/hyperlink" Target="documents/search/doc-link/?q=%D0%BE%D1%82%201%20%D0%B0%D0%B2%D0%B3%D1%83%D1%81%D1%82%D0%B0%202002%20%D0%B3%D0%BE%D0%B4%D0%B0%20%E2%84%96%20174-%D0%97-III%20%C2%AB%D0%9E%20%D0%BF%D0%BE%D1%80%D1%8F%D0%B4%D0%BA%D0%B5%20%D0%BF%D1%80%D0%BE%D0%B2%D0%B5%D0%B4%D0%B5%D0%BD%D0%B8%D1%8F%20%D0%BF%D1%80%D0%BE%D0%B2%D0%B5%D1%80%D0%BE%D0%BA%20%D0%BF%D1%80%D0%B8%20%D0%BE%D1%81%D1%83%D1%89%D0%B5%D1%81%D1%82%D0%B2%D0%BB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2850</Words>
  <Characters>21005</Characters>
  <CharactersWithSpaces>24227</CharactersWithSpaces>
  <Paragraphs>306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