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3125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отчета о конечных результатах исполнения мероприятий государственной целевой программы «Стратегия развития Приднестровского государственного университета им. Т. Г. Шевченко на период 2019–2023 годов» и эффективности использования финансовых средств за весь период ее реализации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целевой программы «Стратегия развития Приднестровского государственного университета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им. Т. Г. Шевченко на период 2019–2023 годов», представленный к рассмотрению Правительством Приднестровской Молдавской Республики (письмо Председателя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Государственная целевая программа «Стратегия развития Приднестровского государственного университета имени Т. Г. Шевченко на период 2019–2023 годов» (далее по тексту – Программа) утверждена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124-З-VI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«Об утверждении государственной целевой программы «Стратегия развития Приднестровского государственного университета им. Т. Г. Шевченко на период 2019–2023 годов» (САЗ 19-24) и направлена на обеспечение непрерывного повышения эффективности научно-образовательной и культурно-воспитательной деятельности ведущего вуза Приднестровской Молдавской Республики, приоритетного развития системы высшего образования и науки на основе упрочения его материально-технической базы, учебного, научного, методического процессов, кадрового потенциала университета, поддержки молодежных программ и проектов.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Паспортом Программы общий объем финансирования мероприятий Программы из средств республиканского бюджета составил 27 000 000 млн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Анализ реализации программы показал, что в расходах республиканского бюджета в 2019–2023 годах суммарно были предусмотрены расходы в сумме 3 649 740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Ввиду дефицита бюджетных средств, а также иных негативных факторов (пандемия и сложная внешнеэкономическая ситуация) объемы финансирования за счет средств республиканского бюджета Программы формировались не в полном объеме, предусмотренном Паспортом Программы.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Так, при ежегодном плановом лимите финансирования за счет средств республиканского бюджета в сумме 6 750 000 рублей плановые лимиты в расходах республиканского бюджета ежегодно составляли </w:t>
      </w:r>
      <w:r>
        <w:rPr/>
        <w:br/>
      </w:r>
      <w:r>
        <w:rPr>
          <w:rFonts w:ascii="times new roman;times" w:hAnsi="times new roman;times"/>
          <w:sz w:val="24"/>
        </w:rPr>
        <w:t>912 435 рублей – 13,52 %: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>на 2020 год – 912 435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>на 2021 год – 912 435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>на 2022 год – 912 435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>на 2023 год – 912 435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2019 году расходы на финансирование Программы не были учтены в Законе Приднестровской Молдавской Республики «О республиканском бюджете на 2019 год».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развития материально-технической базы образовательной деятельности ГОУ «ПГУ им. Т.Г. Шевченко» за период 2020–2023 годов были выполнены следующие мероприятия по реализации Программы: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приобретение оборудования для актового зала ГОУ «ПГУ </w:t>
      </w:r>
      <w:r>
        <w:rPr/>
        <w:br/>
      </w:r>
      <w:r>
        <w:rPr>
          <w:rFonts w:ascii="times new roman;times" w:hAnsi="times new roman;times"/>
          <w:sz w:val="24"/>
        </w:rPr>
        <w:t>им. Т. Г. Шевченко»;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приобретение моноблоков LENOVO для проведения Единого государственного зкзамена Российской Федерации 2021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приобретение компьютерной техники, оборудования и комплектующих;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приобретение звукового оборудования для проведения мероприятий в культурно-просветительском центре имени святых равноапостольных Кирилла и Мефодия;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приобретение видеотехники и комплектующих;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приобретение специальной техники (трактор) для обслуживания учебного процесса и текущей деятельности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изготовление мебели;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приобретение раций;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приобретение 2 легковых автомобилей для обслуживания учебного процесса и текущей деятельности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приобретение и установка газобаллонного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приобретение печатного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приобретение строительно-отделочных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приобретение офисной мебели и техники;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приобретение лицензионного программного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установка металлопластиковых окон.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заявки на приобретение оборудования, инвентаря и автотранспорта были исполнены в полном объеме и использованы структурными подразделениями ГОУ «ПГУ им. Т. Г. Шевченко».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в соответствии с пунктом 7.3 раздела 7 Приложения к Закону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«Об утверждении государственной целевой программы «Стратегия развития Приднестровского государственного университета им. Т. Г. Шевченко на период 2019–2023 годов»,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 конечных результатах исполнения мероприятий государственной целевой программы «Стратегия развития Приднестровского государственного университета им. Т. Г. Шевченко на период 2019–2023 годов» и эффективности использования финансовых средств за весь период ее реализации.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      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«14»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3125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Relationship Id="rId6" Type="http://schemas.openxmlformats.org/officeDocument/2006/relationships/hyperlink" Target="documents/search/doc-link/?q=%D0%BE%D1%82%2028%20%D0%B8%D1%8E%D0%BD%D1%8F%202019%20%D0%B3%D0%BE%D0%B4%D0%B0%20%E2%84%96%20124-%D0%97-V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632</Words>
  <Characters>4597</Characters>
  <CharactersWithSpaces>5260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