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200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проведения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строительной амнистии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
«О некоторых дополнительных государственных мерах, направленных 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200 «Об утверждении Положения о порядке проведения строительной амнистии на территории Приднестровской Молдавской Республики» (САЗ 16-30)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405 (САЗ 23-50)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44 (САЗ 24-6)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часть вторую пункта 3-1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случаях, когда ввод в эксплуатацию объекта строительной амнистии затрагивает права и охраняемые законом интересы других лиц, в том числе если строительство объекта осуществлено с нарушением параметров застройки земельных участков в части несоблюдения расстояния между объектами строительной амнистии и границами смежного земельного участка, применение строительной амнистии к таким объектам осуществляется при предоставлении одного из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нотариально заверенного заявления от всех смежных землепользователей, чьи интересы и права затронуты, о согласии на ввод </w:t>
      </w:r>
      <w:r>
        <w:rPr/>
        <w:br/>
      </w:r>
      <w:r>
        <w:rPr>
          <w:rFonts w:ascii="times new roman;times" w:hAnsi="times new roman;times"/>
          <w:sz w:val="24"/>
        </w:rPr>
        <w:t>в эксплуатацию такого объекта строительной амнистии;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 основании вступившего в законную силу решения суда, вынесенного по заявлению органа, осуществляющего государственный надзор за соблюдением законодательства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в сфере строительства, в соответствии с нормами пункта 5 статьи 239 Гражданского кодекса Приднестровской Молдавской Республики, в котором установлен факт отсутствия нарушений прав и охраняемых законом интересов других лиц либо угрозы жизни и здоровью граждан со стороны объекта строительной амнистии»;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 а) части третьей пункта 4 Приложения к Постановлению после слов «объекта строительной амнистии» дополнить словами «или вступившее в законную силу решение суда, вынесенное по заявлению органа, осуществляющего государственный надзор за соблюдением законодательства Приднестровской Молдавской Республики в сфере строительства,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нормами пункта 5 статьи 239 Гражданского кодекса Приднестровской Молдавской Республики, в котором установлен факт отсутствия нарушений прав и охраняемых законом интересов других лиц либо угрозы жизни и здоровью граждан со стороны объекта строительной амнистии».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B%D1%8F%202016%20%D0%B3%D0%BE%D0%B4%D0%B0%20%E2%84%96%2020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C%D0%B0%D1%8F%202016%20%D0%B3%D0%BE%D0%B4%D0%B0%20%E2%84%96%20120-%D0%97-VI%20%0A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2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8" Type="http://schemas.openxmlformats.org/officeDocument/2006/relationships/hyperlink" Target="documents/search/doc-link/?q=%D0%BE%D1%82%2025%20%D0%B8%D1%8E%D0%BB%D1%8F%202016%20%D0%B3%D0%BE%D0%B4%D0%B0%20%E2%84%96%20200%20%C2%AB%D0%9E%D0%B1%20%D1%83%D1%82%D0%B2%D0%B5%D1%80%D0%B6%D0%B4%D0%B5%D0%BD%D0%B8%D0%B8%20%D0%9F%D0%BE%D0%BB%D0%BE%D0%B6%D0%B5%D0%BD%D0%B8%D1%8F%20%D0%BE%20%D0%BF%D0%BE%D1%80%D1%8F%D0%B4%D0%BA%D0%B5%20%D0%BF%D1%80%D0%BE%D0%B2%D0%B5%D0%B4%D0%B5%D0%BD%D0%B8%D1%8F%20%D1%81%D1%82%D1%80%D0%BE%D0%B8%D1%82%D0%B5%D0%BB%D1%8C%D0%BD%D0%BE%D0%B9%20%D0%B0%D0%BC%D0%BD%D0%B8%D1%81%D1%82%D0%B8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6-30%29" TargetMode="External"/><Relationship Id="rId9" Type="http://schemas.openxmlformats.org/officeDocument/2006/relationships/hyperlink" Target="documents/search/doc-link/?q=%D0%BE%D1%82%2011%20%D0%B4%D0%B5%D0%BA%D0%B0%D0%B1%D1%80%D1%8F%202023%20%D0%B3%D0%BE%D0%B4%D0%B0%20%E2%84%96%20405%20%28%D0%A1%D0%90%D0%97%2023-50%29" TargetMode="External"/><Relationship Id="rId10" Type="http://schemas.openxmlformats.org/officeDocument/2006/relationships/hyperlink" Target="documents/search/doc-link/?q=%D0%BE%D1%82%2029%20%D1%8F%D0%BD%D0%B2%D0%B0%D1%80%D1%8F%202024%20%D0%B3%D0%BE%D0%B4%D0%B0%20%E2%84%96%2044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427</Words>
  <Characters>2995</Characters>
  <CharactersWithSpaces>3460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