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r>
        <w:rPr>
          <w:rStyle w:val="Strong"/>
          <w:rFonts w:ascii="times new roman;times" w:hAnsi="times new roman;times"/>
          <w:sz w:val="24"/>
        </w:rPr>
        <w:t>«О внесении изменений и дополнений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«Специальный налоговый режим – </w:t>
      </w:r>
    </w:p>
    <w:p>
      <w:pPr>
        <w:pStyle w:val="BodyTextoutside-table"/>
        <w:bidi w:val="0"/>
        <w:spacing w:before="0" w:after="283"/>
        <w:ind w:firstLine="709" w:left="0" w:right="0"/>
        <w:jc w:val="center"/>
        <w:rPr/>
      </w:pPr>
      <w:r>
        <w:rPr>
          <w:rStyle w:val="Strong"/>
          <w:rFonts w:ascii="times new roman;times" w:hAnsi="times new roman;times"/>
          <w:sz w:val="24"/>
        </w:rPr>
        <w:t>упрощенная система налогообложения Палаты адвокатов Приднестровской Молдавской Республики»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25 сентября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27 июля 2023 года № 273-З-VII «Специальный налоговый режим – упрощенная система налогообложения Палаты адвокатов Приднестровской Молдавской Республики» (САЗ 23-30)</w:t>
        </w:r>
      </w:hyperlink>
      <w:r>
        <w:rPr>
          <w:rFonts w:ascii="times new roman;times" w:hAnsi="times new roman;times"/>
          <w:sz w:val="24"/>
        </w:rPr>
        <w:t xml:space="preserve"> с изменением, внесенным Законом Приднестровской Молдавской Республики </w:t>
      </w:r>
      <w:hyperlink r:id="rId6">
        <w:r>
          <w:rPr>
            <w:rFonts w:ascii="times new roman;times" w:hAnsi="times new roman;times"/>
            <w:sz w:val="24"/>
            <w:color w:val="0563C1"/>
            <w:u w:val="single"/>
          </w:rPr>
          <w:t xml:space="preserve">от 26 декабря 2023 года № 394-ЗИ-VII (САЗ 24-1)</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Часть первую преамбулы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определяет условия и порядок применения специального налогового режима – упрощенной системы налогообложения Палаты адвокатов Приднестровской Молдавской Республики, адвокатских образований (адвокатских кабинетов, адвокатских бюро и юридических консультаций), образованных в соответствии с Законом Приднестровской Молдавской Республики «Об адвокатской деятельности и адвокатуре в Приднестровской Молдавской Республике» (далее – упрощенная система налогообложения Палаты адвокатов)».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 Субъект налогообложения (налогоплательщик)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Субъектами упрощенной системы налогообложения Палаты адвокатов признаются Палата адвокатов Приднестровской Молдавской Республики и адвокатские образования в части доходов адвокатов. В отношении выплат (доходов) и иных вознаграждений, начисляемых Палатой адвокатов Приднестровской Молдавской Республики, адвокатскими образованиями в пользу работников и иных физических лиц, не являющихся членами Палаты адвокатов Приднестровской Молдавской Республики, адвокатского образования, налогообложение осуществляется в соответствии с общим налоговым режимом, исходя из норм законодательства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 Порядок и условия начала и прекращения применения упрощенной системы налогообложения Палаты адвокатов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Переход на упрощенную систему налогообложения Палаты адвокатов или возврат к иным налоговым режимам осуществляется Палатой адвокатов Приднестровской Молдавской Республики, адвокатскими образованиями добровольно в порядке, установленном настоящим Законом.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Палата адвокатов Приднестровской Молдавской Республики, адвокатские образования в случае принятия ими решения о переходе на упрощенную систему налогообложения Палаты адвокатов подают заявление о переходе на упрощенную систему налогообложения Палаты адвокатов с 1 числа отчетного месяца независимо от течения срока финансового года в налоговый орган по месту своего нахождения до начала месяца, с которого Палата адвокатов Приднестровской Молдавской Республики, адвокатское образование планируют перейти на упрощенную систему налогообложения Палаты адвокатов.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Палата адвокатов Приднестровской Молдавской Республики, адвокатское образование, применяющие упрощенную систему налогообложения Палаты адвокатов, вправе перейти на иной налоговый режим с начала следующего календарного года, уведомив об этом налоговый орган не позднее 15 января года, в котором они предполагают перейти на иной налоговый режим.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Палата адвокатов Приднестровской Молдавской Республики, адвокатское образование в случае перехода с упрощенной системы налогообложения Палаты адвокатов на иной налоговый режим вправе вновь перейти на упрощенную систему налогообложения Палаты адвокатов не ранее чем через 1 (один) год после того, как они прекратили применение упрощенной системы налогообложения Палаты адвокатов».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3. Налоги и платежи, уплачиваемые налогоплательщиком Палата адвокатов Приднестровской Молдавской Республики, адвокатское образование в случае применения упрощенной системы налогообложения Палаты адвокатов ежемесячно уплачивают за каждого члена Палаты адвокатов, адвокатского образования Приднестровской Молдавской Республики следующие налоги и иные обязательные платежи: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единый социальный налог;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обязательный страховой взнос;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подоходный налог с физических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Уплата иных налогов и сборов, не указанных в части первой настоящей статьи, производится Палатой адвокатов Приднестровской Молдавской Республики, адвокатским образованием в соответствии с общим режимом налогообложения».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1 статьи 4 после слов «Палатой адвокатов Приднестровской Молдавской Республики» дополнить через запятую словами «адвокатским образованием».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Часть третью пункта 2 статьи 4 после слов «Палату адвокатов Приднестровской Молдавской Республики» дополнить через запятую словами «адвокатское образование».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части первой пункта 4 статьи 4 слова «Палата адвокатов Приднестровской Молдавской Республики освобождается» заменить словами «Палата адвокатов Приднестровской Молдавской Республики, адвокатское образование освобождаются».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Пункт 5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Палата адвокатов Приднестровской Молдавской Республики, адвокатское образование обязаны вести учет сумм начисленных выплат и иных вознаграждений, сумм единого социального налога по каждому члену Палаты адвокатов Приднестровской Молдавской Республики, адвокатского образования, в пользу которого осуществлялись выплаты, по форме и в порядке, разработанным уполномоченным Правительством Приднестровской Молдавской Республики исполнительным органом государственной власти, осуществляющим индивидуальный (персонифицированный) учет в системе государственного пенсионного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Налогоплательщик (за исключением адвокатов, учредивших адвокатские кабинеты) производит уплату платежей по единому социальному налогу ежемесячно, но не позднее 5 (пяти) календарных дней со дня, установленного для сдачи отчета в налоговые органы.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Адвокаты, учредившие адвокатские кабинеты, производят уплату единого социального налога ежемесячно, в течение первых 5 (пяти) календарных дней месяца, следующего за месяцем, за который должна быть произведена оплата налога».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Пункт 2 статьи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Палата адвокатов Приднестровской Молдавской Республики, адвокатское образование (за исключением адвокатских кабинетов) начисляют и уплачивают обязательные страховые взносы в Единый государственный фонд социального страхования Приднестровской Молдавской Республики на цели пенсионного страхования (обеспечения) в размере 3 процентов от налогооблагаемой базы за каждого члена Палаты адвокатов Приднестровской Молдавской Республики, адвокатского образования (за исключением адвокатских кабинетов) ежемесячно независимо от факта получения дохода членом Палаты адвокатов Приднестровской Молдавской Республики, адвокатского образования не позднее 5 (пяти) календарных дней со дня, установленного для сдачи отчета в налоговые органы.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Адвокаты, учредившие адвокатские кабинеты, производят уплату обязательных страховых взносов в Единый государственный фонд социального страхования Приднестровской Молдавской Республики в размере 3 процентов от налогооблагаемой базы ежемесячно независимо от факта получения дохода в течение первых 5 (пяти) календарных дней месяца, следующего за месяцем, за который должна быть произведена оплата налога».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части первой пункта 3 статьи 5 слова «Палата адвокатов Приднестровской Молдавской Республики освобождается» заменить словами «Палата адвокатов Приднестровской Молдавской Республики, адвокатское образование освобождаются».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Часть вторую пункта 4 статьи 5 после слов «Палату адвокатов Приднестровской Молдавской Республики» дополнить через запятую словами «адвокатское образование».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В пункте 5 статьи 5 слова «Палата адвокатов Приднестровской Молдавской Республики обязана» заменить словами «Палата адвокатов Приднестровской Молдавской Республики, адвокатское образование обязаны».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Пункты 1, 2, 4 статьи 6 после слов «Палатой адвокатов Приднестровской Молдавской Республики» дополнить через запятую словами «адвокатским образованием».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Пункт 5 статьи 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Палата адвокатов Приднестровской Молдавской Республики, адвокатское образование, применяющие упрощенную систему налогообложения Палаты адвокатов, обязаны ежемесячно исчислять и перечислять в республиканский бюджет сумму подоходного налога с физических лиц, исчисленного в соответствии с настоящей статьей, независимо от факта получения доходов членами Палаты адвокатов Приднестровской Молдавской Республики, адвокатского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отсутствия доходов от профессиональной деятельности адвокатов в связи 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нахождением адвоката в отпуске по беременности и родам или отпуске по уходу за ребенком до достижения им возраста 3 (трех) лет – налогооблагаемая база в период нахождения в указанных отпусках принимается равной нулю;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временной утратой адвокатом трудоспособности – налогооблагаемая база подлежит пересчету, исходя из количества дней временной нетрудоспособности адвоката.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осуществления пересчета налогооблагаемой базы в соответствии с частью второй настоящего пункта члены Палаты адвокатов Приднестровской Молдавской Республики, адвокатского образования представляют в Палату адвокатов Приднестровской Молдавской Республики, адвокатское образование соответствующие подтверждающие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Палата адвокатов Приднестровской Молдавской Республики, адвокатское образование (за исключением адвокатских кабинетов), применяющие упрощенную систему налогообложения Палаты адвокатов, обязаны перечислять сумму исчисленного подоходного налога с физических лиц ежемесячно, но не позднее 5 (пяти) календарных дней со дня, установленного для сдачи отчета в налоговые органы.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Адвокаты, учредившие адвокатские кабинеты, производят уплату подоходного налога с физических лиц ежемесячно в течение первых 5 (пяти) календарных дней месяца, следующего за месяцем, за который должна быть произведена оплата налога».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Статью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 Ответственность за нарушение налогового законодательства Палата адвокатов Приднестровской Молдавской Республики, адвокатское образование, применяющие упрощенную систему налогообложения Палаты адвокатов, и их должностные лица за нарушение норм настоящего Закона несут ответственность, предусмотренную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Закон дополнить статьей 7-1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7-1. Переходные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2024 года адвокатские образования в случае принятия решения о переходе на упрощенную систему налогообложения Палаты адвокатов вправе подать в налоговый орган по месту своего нахождения заявление о переходе на упрощенную систему налогообложения Палаты адвокатов с 1 числа месяца, в котором зарегистрировано (образовано) соответствующее адвокатское образование, независимо от течения срока финансового года.</w:t>
      </w:r>
    </w:p>
    <w:p>
      <w:pPr>
        <w:pStyle w:val="BodyTextoutside-table"/>
        <w:bidi w:val="0"/>
        <w:spacing w:before="0" w:after="283"/>
        <w:ind w:firstLine="709" w:left="0" w:right="0"/>
        <w:jc w:val="left"/>
        <w:rPr/>
      </w:pPr>
      <w:r>
        <w:rPr>
          <w:rFonts w:ascii="times new roman;times" w:hAnsi="times new roman;times"/>
          <w:sz w:val="24"/>
        </w:rPr>
        <w:t xml:space="preserve">При этом исчисленные в соответствии с настоящим Законом налоги за все месяцы до даты подачи заявления подлежат уплате в срок не позднее </w:t>
      </w:r>
      <w:r>
        <w:rPr/>
        <w:br/>
      </w:r>
      <w:r>
        <w:rPr>
          <w:rFonts w:ascii="times new roman;times" w:hAnsi="times new roman;times"/>
          <w:sz w:val="24"/>
        </w:rPr>
        <w:t>30 (тридцатого) числа месяца, следующего за месяцем, в котором подано заявление».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По всему тексту Закона после слов «член Палаты адвокатов Приднестровской Молдавской Республики» в соответствующем числе и падеже дополнить словами «адвокатского образования» с предшествующей запятой.</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 и распространяет свое действие на правоотношения, возникшие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238-ЗИД-VII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B%D1%8F%202023%20%D0%B3%D0%BE%D0%B4%D0%B0%20%E2%84%96%20273-%D0%97-VII%20%C2%AB%D0%A1%D0%BF%D0%B5%D1%86%D0%B8%D0%B0%D0%BB%D1%8C%D0%BD%D1%8B%D0%B9%20%D0%BD%D0%B0%D0%BB%D0%BE%D0%B3%D0%BE%D0%B2%D1%8B%D0%B9%20%D1%80%D0%B5%D0%B6%D0%B8%D0%BC%20%E2%80%93%20%D1%83%D0%BF%D1%80%D0%BE%D1%89%D0%B5%D0%BD%D0%BD%D0%B0%D1%8F%20%D1%81%D0%B8%D1%81%D1%82%D0%B5%D0%BC%D0%B0%20%D0%BD%D0%B0%D0%BB%D0%BE%D0%B3%D0%BE%D0%BE%D0%B1%D0%BB%D0%BE%D0%B6%D0%B5%D0%BD%D0%B8%D1%8F%20%D0%9F%D0%B0%D0%BB%D0%B0%D1%82%D1%8B%20%D0%B0%D0%B4%D0%B2%D0%BE%D0%BA%D0%B0%D1%82%D0%BE%D0%B2%20%D0%9F%D1%80%D0%B8%D0%B4%D0%BD%D0%B5%D1%81%D1%82%D1%80%D0%BE%D0%B2%D1%81%D0%BA%D0%BE%D0%B9%20%D0%9C%D0%BE%D0%BB%D0%B4%D0%B0%D0%B2%D1%81%D0%BA%D0%BE%D0%B9%20%D0%A0%D0%B5%D1%81%D0%BF%D1%83%D0%B1%D0%BB%D0%B8%D0%BA%D0%B8%C2%BB%20%28%D0%A1%D0%90%D0%97%2023-30%29" TargetMode="External"/><Relationship Id="rId6" Type="http://schemas.openxmlformats.org/officeDocument/2006/relationships/hyperlink" Target="documents/search/doc-link/?q=%D0%BE%D1%82%2026%20%D0%B4%D0%B5%D0%BA%D0%B0%D0%B1%D1%80%D1%8F%202023%20%D0%B3%D0%BE%D0%B4%D0%B0%C2%A0%E2%84%96%20394-%D0%97%D0%98-VII%20%28%D0%A1%D0%90%D0%97%2024-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1361</Words>
  <Characters>10154</Characters>
  <CharactersWithSpaces>11518</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