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,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87 и 88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«87.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4 июня 2024 года по 6 июня 2024 года (за исключением семенного материала)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88.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4 июня 2024 года по 6 июня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734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706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7 июня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558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2203</Words>
  <Characters>12571</Characters>
  <CharactersWithSpaces>14776</CharactersWithSpaces>
  <Paragraphs>558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