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rStyle w:val="Strong"/>
          <w:rFonts w:ascii="times new roman;times" w:hAnsi="times new roman;times"/>
          <w:sz w:val="24"/>
        </w:rPr>
        <w:t>ПОСТАНОВЛЕНИЕ № 3290</w:t>
      </w:r>
    </w:p>
    <w:p>
      <w:pPr>
        <w:pStyle w:val="BodyTextoutside-table"/>
        <w:bidi w:val="0"/>
        <w:spacing w:before="0" w:after="283"/>
        <w:ind w:firstLine="709" w:left="0" w:right="0"/>
        <w:jc w:val="center"/>
        <w:rPr/>
      </w:pPr>
      <w:r>
        <w:rPr>
          <w:rStyle w:val="Emphasis"/>
        </w:rPr>
        <w:t> </w:t>
      </w:r>
      <w:r>
        <w:rPr>
          <w:rStyle w:val="Emphasis"/>
          <w:rFonts w:ascii="times new roman;times" w:hAnsi="times new roman;times"/>
          <w:sz w:val="24"/>
        </w:rPr>
        <w:t>Принято Верховным Советом</w:t>
      </w:r>
    </w:p>
    <w:p>
      <w:pPr>
        <w:pStyle w:val="BodyTextoutside-table"/>
        <w:bidi w:val="0"/>
        <w:spacing w:before="0" w:after="283"/>
        <w:ind w:firstLine="709" w:left="0" w:right="0"/>
        <w:jc w:val="center"/>
        <w:rPr/>
      </w:pPr>
      <w:r>
        <w:rPr>
          <w:rStyle w:val="Emphasis"/>
          <w:rFonts w:ascii="times new roman;times" w:hAnsi="times new roman;times"/>
          <w:sz w:val="24"/>
        </w:rPr>
        <w:t>Приднестровской Молдавской Республики  17 июля 2024 года</w:t>
      </w:r>
    </w:p>
    <w:p>
      <w:pPr>
        <w:pStyle w:val="BodyTextoutside-table"/>
        <w:bidi w:val="0"/>
        <w:spacing w:before="0" w:after="283"/>
        <w:ind w:firstLine="709" w:left="0" w:right="0"/>
        <w:jc w:val="center"/>
        <w:rPr/>
      </w:pPr>
      <w:r>
        <w:rPr/>
        <w:t> </w:t>
      </w:r>
      <w:r>
        <w:rPr>
          <w:rStyle w:val="Strong"/>
          <w:rFonts w:ascii="times new roman;times" w:hAnsi="times new roman;times"/>
          <w:sz w:val="24"/>
        </w:rPr>
        <w:t>Об утверждении Прогноза социально-экономического развития Приднестровской Молдавской Республики на 2025 год</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Fonts w:ascii="times new roman;times" w:hAnsi="times new roman;times"/>
          <w:sz w:val="24"/>
        </w:rPr>
        <w:t xml:space="preserve">Рассмотрев в соответствии с частью двенадцатой статьи 8 Закона Приднестровской Молдавской Республики «О бюджетной системе в Приднестровской Молдавской Республике» проект постановления Верховного Совета Приднестровской Молдавской Республики «Об утверждении Прогноза социально-экономического развития Приднестровской Молдавской Республики на 2025 год», представленный к рассмотрению в качестве законодательной инициативы Правительством Приднестровской Молдавской Республики (распоряжение Правительства </w:t>
      </w:r>
      <w:hyperlink r:id="rId5">
        <w:r>
          <w:rPr>
            <w:rFonts w:ascii="times new roman;times" w:hAnsi="times new roman;times"/>
            <w:sz w:val="24"/>
            <w:color w:val="0563C1"/>
            <w:u w:val="single"/>
          </w:rPr>
          <w:t xml:space="preserve">от 10 июня 2024 года № 425р</w:t>
        </w:r>
      </w:hyperlink>
      <w:r>
        <w:rPr>
          <w:rFonts w:ascii="times new roman;times" w:hAnsi="times new roman;times"/>
          <w:sz w:val="24"/>
        </w:rPr>
        <w:t xml:space="preserve">), руководствуясь подпунктом а) пункта 1 статьи 82 Регламента Верховного Совета Приднестровской Молдавской Республики, Верховный Совет Приднестровской Молдавской Республики </w:t>
      </w:r>
      <w:r>
        <w:rPr>
          <w:rStyle w:val="Strong"/>
          <w:rFonts w:ascii="times new roman;times" w:hAnsi="times new roman;times"/>
          <w:sz w:val="24"/>
        </w:rPr>
        <w:t xml:space="preserve">ПОСТАНОВЛЯЕТ:</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Утвердить Прогноз социально-экономического развития Приднестровской Молдавской Республики на 2025 год согласно Приложению к настоящему Постановлению.</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 xml:space="preserve">2. Предложить Правительству Приднестровской Молдавской Республики представить в адрес Верховного Совета Приднестровской Молдавской Республики проект постановления Верховного Совета Приднестровской Молдавской Республики «О внесении изменений в Постановление Верховного Совета Приднестровской Молдавской Республики </w:t>
      </w:r>
      <w:hyperlink r:id="rId6">
        <w:r>
          <w:rPr>
            <w:rFonts w:ascii="times new roman;times" w:hAnsi="times new roman;times"/>
            <w:sz w:val="24"/>
            <w:color w:val="0563C1"/>
            <w:u w:val="single"/>
          </w:rPr>
          <w:t xml:space="preserve">от 7 июня 2023 года № 2241 «Об утверждении Концепции бюджетной и налоговой политики Приднестровской Молдавской Республики на 2024 год и среднесрочную перспективу»</w:t>
        </w:r>
      </w:hyperlink>
      <w:r>
        <w:rPr>
          <w:rFonts w:ascii="times new roman;times" w:hAnsi="times new roman;times"/>
          <w:sz w:val="24"/>
        </w:rPr>
        <w:t xml:space="preserve"> в части корректировки фактических показателей за 2021, 2022 и 2023 годы и прогнозных показателей на 2024 и 2025 годы.</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Настоящее Постановление вступает в силу со дня официального опубликования.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Style w:val="Strong"/>
          <w:rFonts w:ascii="times new roman;times" w:hAnsi="times new roman;times"/>
          <w:sz w:val="24"/>
        </w:rPr>
        <w:t>Председатель Верховного</w:t>
      </w:r>
    </w:p>
    <w:p>
      <w:pPr>
        <w:pStyle w:val="BodyTextoutside-table"/>
        <w:bidi w:val="0"/>
        <w:spacing w:before="0" w:after="283"/>
        <w:ind w:firstLine="709" w:left="0" w:right="0"/>
        <w:jc w:val="left"/>
        <w:rPr/>
      </w:pPr>
      <w:r>
        <w:rPr>
          <w:rStyle w:val="Strong"/>
          <w:rFonts w:ascii="times new roman;times" w:hAnsi="times new roman;times"/>
          <w:sz w:val="24"/>
        </w:rPr>
        <w:t>Совета Приднестровской</w:t>
      </w:r>
    </w:p>
    <w:p>
      <w:pPr>
        <w:pStyle w:val="BodyTextoutside-table"/>
        <w:bidi w:val="0"/>
        <w:spacing w:before="0" w:after="283"/>
        <w:ind w:firstLine="709" w:left="0" w:right="0"/>
        <w:jc w:val="left"/>
        <w:rPr/>
      </w:pPr>
      <w:r>
        <w:rPr>
          <w:rStyle w:val="Strong"/>
          <w:rFonts w:ascii="times new roman;times" w:hAnsi="times new roman;times"/>
          <w:sz w:val="24"/>
        </w:rPr>
        <w:t>Молдавской Республики                                              А. В. КОРШУНОВ</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Тирасполь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«23» июля 2024 года</w:t>
      </w:r>
    </w:p>
    <w:p>
      <w:pPr>
        <w:pStyle w:val="BodyTextoutside-table"/>
        <w:bidi w:val="0"/>
        <w:spacing w:before="0" w:after="283"/>
        <w:ind w:firstLine="709" w:left="0" w:right="0"/>
        <w:jc w:val="left"/>
        <w:rPr/>
      </w:pPr>
      <w:r>
        <w:rPr/>
        <w:t xml:space="preserve">№ </w:t>
      </w:r>
      <w:r>
        <w:rPr>
          <w:rFonts w:ascii="times new roman;times" w:hAnsi="times new roman;times"/>
          <w:sz w:val="24"/>
        </w:rPr>
        <w:t>3290</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Постановлению Верховного Совета</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Приднестровской Молдавской Республики</w:t>
      </w:r>
    </w:p>
    <w:p>
      <w:pPr>
        <w:pStyle w:val="BodyTextoutside-table"/>
        <w:bidi w:val="0"/>
        <w:spacing w:before="0" w:after="283"/>
        <w:ind w:firstLine="709" w:left="0" w:right="0"/>
        <w:jc w:val="right"/>
        <w:rPr/>
      </w:pPr>
      <w:hyperlink r:id="rId7">
        <w:r>
          <w:rPr>
            <w:rFonts w:ascii="times new roman;times" w:hAnsi="times new roman;times"/>
            <w:sz w:val="20"/>
            <w:color w:val="0563C1"/>
            <w:u w:val="single"/>
          </w:rPr>
          <w:t xml:space="preserve">от 17 июля 2024 года № 3290 
«Об утверждении Прогноза социально-экономического </w:t>
        </w:r>
      </w:hyperlink>
    </w:p>
    <w:p>
      <w:pPr>
        <w:pStyle w:val="BodyTextoutside-table"/>
        <w:bidi w:val="0"/>
        <w:spacing w:before="0" w:after="283"/>
        <w:ind w:firstLine="709" w:left="0" w:right="0"/>
        <w:jc w:val="right"/>
        <w:rPr>
          <w:rFonts w:ascii="times new roman;times" w:hAnsi="times new roman;times"/>
          <w:sz w:val="20"/>
        </w:rPr>
      </w:pPr>
      <w:hyperlink r:id="rId7">
        <w:r>
          <w:rPr>
            <w:rFonts w:ascii="times new roman;times" w:hAnsi="times new roman;times"/>
            <w:sz w:val="20"/>
            <w:color w:val="0563C1"/>
            <w:u w:val="single"/>
          </w:rPr>
          <w:t xml:space="preserve">развития Приднестровской Молдавской Республики на 2025 год»</w:t>
        </w:r>
      </w:hyperlink>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Прогноз</w:t>
      </w:r>
    </w:p>
    <w:p>
      <w:pPr>
        <w:pStyle w:val="BodyTextoutside-table"/>
        <w:bidi w:val="0"/>
        <w:spacing w:before="0" w:after="283"/>
        <w:ind w:firstLine="709" w:left="0" w:right="0"/>
        <w:jc w:val="center"/>
        <w:rPr/>
      </w:pPr>
      <w:r>
        <w:rPr>
          <w:rFonts w:ascii="times new roman;times" w:hAnsi="times new roman;times"/>
          <w:sz w:val="24"/>
        </w:rPr>
        <w:t xml:space="preserve">социально-экономического развития </w:t>
      </w:r>
      <w:r>
        <w:rPr/>
        <w:br/>
      </w:r>
      <w:r>
        <w:rPr>
          <w:rFonts w:ascii="times new roman;times" w:hAnsi="times new roman;times"/>
          <w:sz w:val="24"/>
        </w:rPr>
        <w:t>Приднестровской Молдавской Республики на 2025 год</w:t>
      </w:r>
    </w:p>
    <w:p>
      <w:pPr>
        <w:pStyle w:val="BodyTextoutside-table"/>
        <w:bidi w:val="0"/>
        <w:spacing w:before="0" w:after="283"/>
        <w:ind w:firstLine="709" w:left="0" w:right="0"/>
        <w:jc w:val="center"/>
        <w:outlineLvl w:val="0"/>
        <w:rPr/>
      </w:pPr>
      <w:r>
        <w:rPr/>
        <w:t> </w:t>
      </w:r>
      <w:r>
        <w:rPr>
          <w:rFonts w:ascii="times new roman;times" w:hAnsi="times new roman;times"/>
          <w:sz w:val="24"/>
        </w:rPr>
        <w:t>1. Введение</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 xml:space="preserve">Прогноз социально-экономического развития на 2025 год (далее – Прогноз) разработан в соответствии с законодательством Приднестровской Молдавской Республики, исходя из задач и приоритетов социально-экономического развития, обозначенных в Стратегии развития Приднестровской Молдавской Республики на 2019–2026 годы, утвержденной Указом Президента Приднестровской Молдавской Республики </w:t>
      </w:r>
      <w:hyperlink r:id="rId8">
        <w:r>
          <w:rPr>
            <w:rFonts w:ascii="times new roman;times" w:hAnsi="times new roman;times"/>
            <w:sz w:val="24"/>
            <w:color w:val="0563C1"/>
            <w:u w:val="single"/>
          </w:rPr>
          <w:t xml:space="preserve">от 12 декабря 2018 года № 460 (САЗ 18-50)</w:t>
        </w:r>
      </w:hyperlink>
      <w:r>
        <w:rPr>
          <w:rFonts w:ascii="times new roman;times" w:hAnsi="times new roman;times"/>
          <w:sz w:val="24"/>
        </w:rPr>
        <w:t xml:space="preserve">.</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Разработка Прогноза основывалась на официальных данных Государственной службы статистики Министерства экономического развития Приднестровской Молдавской Республики, Государственного таможенного комитета Приднестровской Молдавской Республики, Министерства сельского хозяйства и природных ресурсов Приднестровской Молдавской Республики,  Министерства по социальной защите и труду Приднестровской Молдавской Республики, Приднестровского республиканского банка, аналитической и прогнозной информации ключевых промышленных, торговых, строительных, транспортных организаций республики, экспертных оценках международных финансовых и аналитических институтов.</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2. Основные тенденции социально-экономического развития</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Приднестровской Молдавской Республики в 2023 году</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Сохранение геополитической напряженности, региональная нестабильность, сложности с осуществлением внешнеэкономической деятельности приднестровскими хозяйствующими субъектами, разновекторная динамика цен на мировых сырьевых и товарных рынках оказывали влияние на интенсивность экономических процессов в 2023 году.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Дополнительным фактором негативного воздействия на приднестровскую экономику выступило усиление блокадных мер со стороны Республики Молдова в отношении отечественных экономических агентов путем блокировки экспорта ряда крупнейших промышленных предприятий, введения дополнительной платы за таможенное оформление, установления платных процедур регистрации и лицензирования, а также новых требований по уплате платежей за загрязнение окружающей среды и других рестриктивных мер.</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результате влияния совокупности внешних и внутренних факторов динамика промышленного производства характеризовалась разнонаправленными тенденциями с преобладанием понижательной динамики и элементов стагнации. Объем выпуска по крупным и средним предприятиям в разрезе подотраслей</w:t>
      </w:r>
      <w:r>
        <w:rPr>
          <w:rFonts w:ascii="times new roman;times" w:hAnsi="times new roman;times"/>
          <w:position w:val="8"/>
          <w:sz w:val="19"/>
          <w:sz w:val="24"/>
        </w:rPr>
        <w:t>[1]</w:t>
      </w:r>
      <w:r>
        <w:rPr>
          <w:rFonts w:ascii="times new roman;times" w:hAnsi="times new roman;times"/>
          <w:sz w:val="24"/>
        </w:rPr>
        <w:t xml:space="preserve"> сложился на уровне 15 933,3 миллиона рублей Приднестровской Молдавской Республики (далее – рублей), превысив всего на 0,3 процента в реальном выражении уровень 2022 года. Выход на положительную траекторию был обеспечен исключительно результатами работы энергетических предприятий.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Благоприятные погодные условия, сформировавшие необходимый уровень влаги в почве, способствовали значительному росту физических объемов урожая в сфере растениеводства по сравнению с базисным периодом. Однако падение цен на основные сельскохозяйственные культуры в совокупности с логистическими сложностями импорта семенного материала, средств защиты растений и удобрений, а также проблемы со сбытом продукции на внешние рынки обусловили формирование совокупной валовой продукции сельского хозяйства в размере 4 403,8 миллиона рублей, что лишь на 3,2 процента выше уровня 2022 года.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Следствием отмеченных тенденций в реальном секторе стало сокращение стоимостного объема как экспортных операций – на 0,8 процента, до 732,7 миллиона долларов Соединенных Штатов Америки (далее – долларов), так и импортных поставок – на 5,9 процента, до 2 335,8 миллиона долларов.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После пиковых ценовых колебаний в 2022 году (13,2 процента по итогам базисного периода) к положительным результатам отчетного года следует отнести замедление инфляционных процессов до 4,2 процента. В результате превышения номинальных темпов роста уровня заработных плат в республике над темпом роста потребительских цен среднемесячная номинальная начисленная заработная плата в целом по экономике с учетом субъектов малого предпринимательства и некоммерческих организаций (без учета силовых структур и таможенных органов) выросла на 1,4 процента в реальном выражении, составив 6 134 рубля. Номинальный рост среднего уровня оплаты труда по экономике зафиксирован на уровне 9,4 процента к базисной отметке.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Среднесписочная численность работников по итогам 2023 года сократилась до 103,4 тысячи человек против 105,3 тысячи человек в 2022 году.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результате при номинальном росте валового внутреннего продукта на 6,1 процента, до 19 574,5 миллиона рублей, в реальном выражении показатель сократился на 1,0 процента.</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3. Основные тенденции развития экономики</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Приднестровской Молдавской Республики в первом квартале 2024 года</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первом квартале 2024 года в условиях нового витка давления со стороны Республики Молдова на экономику Приднестровья путем введения обязательности уплаты импортных пошлин в молдавский бюджет и усиления ограничений для отечественных экспортно ориентированных предприятий, сохранения напряженной геополитической обстановки ситуация в ключевых секторах характеризовалась разновекторной динамикой с преобладанием понижательных тенденций.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Промышленность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январе–марте 2024 года в индустриальном секторе экономики сохранилась тенденция снижения производственной активности: объем промышленного производства в разрезе подотраслей</w:t>
      </w:r>
      <w:r>
        <w:rPr>
          <w:rFonts w:ascii="times new roman;times" w:hAnsi="times new roman;times"/>
          <w:position w:val="8"/>
          <w:sz w:val="19"/>
          <w:sz w:val="24"/>
        </w:rPr>
        <w:t>1</w:t>
      </w:r>
      <w:r>
        <w:rPr>
          <w:rFonts w:ascii="times new roman;times" w:hAnsi="times new roman;times"/>
          <w:sz w:val="24"/>
        </w:rPr>
        <w:t xml:space="preserve"> по крупным и средним предприятиям составил 3 593,0 миллиона рублей, что на 3,6 процента ниже сопоставимого параметра 2023 года (-0,9 процента в реальном выражении).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8 из 11 подотраслей промышленности была зафиксирована отрицательная динамика. В электроэнергетике и черной металлургии, сформировавших почти 2/3 квартального валового выпуска индустриального сектора, снижение стоимостного выпуска было обусловлено ценовым фактором при одновременном наращивании физических объемов производства.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Суммарный с начала года валовой выпуск продукции энергетического комплекса сократился на 2,4 процента, до 1 463,1 миллиона рублей (рост на 2,2 процента в реальном выражении). В черной металлургии отмечено снижение объема производства на 5,4 процента, до 739,4 миллиона рублей, при росте на 5,3 процента физических объемов.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Сокращение производственной активности продолжилось в легкой промышленности: валовой выпуск подотрасли снизился на 17,7 процента по отношению к базисному показателю, составив 363,9 миллиона рублей. Отставание выпуска в реальном выражении достигло 12,7 процента.</w:t>
      </w:r>
    </w:p>
    <w:p>
      <w:pPr>
        <w:pStyle w:val="BodyTextoutside-table"/>
        <w:bidi w:val="0"/>
        <w:spacing w:before="0" w:after="283"/>
        <w:ind w:firstLine="709" w:left="0" w:right="0"/>
        <w:jc w:val="left"/>
        <w:rPr/>
      </w:pPr>
      <w:r>
        <w:rPr>
          <w:rFonts w:ascii="times new roman;times" w:hAnsi="times new roman;times"/>
          <w:sz w:val="24"/>
        </w:rPr>
        <w:t xml:space="preserve">Предприятия химической промышленности, столкнувшиеся с ограничением экспортной деятельности со стороны Республики Молдова, произвели продукции на сумму 123,9 миллиона рублей, что на 47,8 процента ниже базисного уровня в реальном выражении. За счет фактора высоких цен отставание в текущих ценах от прошлогоднего параметра составило </w:t>
      </w:r>
      <w:r>
        <w:rPr/>
        <w:br/>
      </w:r>
      <w:r>
        <w:rPr>
          <w:rFonts w:ascii="times new roman;times" w:hAnsi="times new roman;times"/>
          <w:sz w:val="24"/>
        </w:rPr>
        <w:t>3,3 процента.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электротехнической промышленности за три месяца выработка в стоимостном выражении сложилась на уровне 91,0 миллиона рублей, что на 6,6 процента ниже отметки базисного периода (-23,3 процента в реальном выражении).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Отрицательные тенденции сохранились в подотрасли машиностроения и металлообработки: по итогам первого квартала 2024 года объем производства составил 55,3 миллиона рублей, что ниже базисного показателя на 24,5 процента в текущих ценах и на 26,8 процента в реальном выражении.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 итогам трех месяцев объем производства организаций мукомольно-крупяной и комбикормовой промышленности уменьшился в текущих ценах на 2,7 процента, до 42,0 миллионов рублей. При этом физические объемы производства подотрасли выросли на 11,6 процента.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Товарный выпуск полиграфической промышленности по итогам января–марта 2024 года снизился на 3,9 процента, до 6,6 миллиона рублей (в реальном выражении сокращение составило 18,8 процента).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первом квартале 2024 года положительная динамика роста объемов промышленного производства отмечена в трех подотраслях.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пищевой промышленности объем производства увеличился как в номинальном, так и в реальном выражении на 6,9 процента, до 561,9 миллиона рублей.</w:t>
      </w:r>
    </w:p>
    <w:p>
      <w:pPr>
        <w:pStyle w:val="BodyTextoutside-table"/>
        <w:bidi w:val="0"/>
        <w:spacing w:before="0" w:after="283"/>
        <w:ind w:firstLine="709" w:left="0" w:right="0"/>
        <w:jc w:val="left"/>
        <w:rPr/>
      </w:pPr>
      <w:r>
        <w:rPr>
          <w:rFonts w:ascii="times new roman;times" w:hAnsi="times new roman;times"/>
          <w:sz w:val="24"/>
        </w:rPr>
        <w:t xml:space="preserve">Результаты деятельности организаций промышленности строительных материалов сформировались на отметке 143,2 миллиона рублей, что на </w:t>
      </w:r>
      <w:r>
        <w:rPr/>
        <w:br/>
      </w:r>
      <w:r>
        <w:rPr>
          <w:rFonts w:ascii="times new roman;times" w:hAnsi="times new roman;times"/>
          <w:sz w:val="24"/>
        </w:rPr>
        <w:t xml:space="preserve">12,3 процента выше показателя аналогичного периода 2023 года </w:t>
      </w:r>
      <w:r>
        <w:rPr/>
        <w:br/>
      </w:r>
      <w:r>
        <w:rPr>
          <w:rFonts w:ascii="times new roman;times" w:hAnsi="times new roman;times"/>
          <w:sz w:val="24"/>
        </w:rPr>
        <w:t>(+17,6 процента в реальном выражении).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Организации лесной и деревообрабатывающей промышленности произвели продукции на сумму 2,8 миллиона рублей, что в 1,8 раза выше прошлогоднего параметра как в номинальном, так и в реальном выражении.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Внешнеэкономическая деятельность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Согласно данным Государственного таможенного комитета Приднестровской Молдавской Республики совокупный внешнеторговый оборот республики по итогам января–марта 2024 года сложился на уровне 618,5 миллиона долларов, что на 32,6 процента ниже базисной отметки.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Отрицательные тенденции зафиксированы как по экспортным продажам, стоимостные объемы которых сократились на 7,9 процента, до 159,4 миллиона долларов, так и по импортным поставкам (с учетом операций физических лиц) – -38,3 процента, до 459,1 миллиона долларов.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условиях преимущественно понижательной ценовой динамики на мировых металлургических рынках экспорт металлов и изделий из них по итогам января–марта 2024 года в стоимостном выражении сложился на уровне 46,5 миллиона долларов (-4,2 процента к показателю января–марта 2023 года), сформировав 29,2 процента совокупного значения.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Также фиксировалось снижение стоимостных объемов экспорта топливно-энергетических товаров (-10,4 процента к базисному уровню) до 42,7 миллиона долларов, который сформировал 26,8 процента совокупного показателя.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Сокращение стоимостных объемов продаж за рубеж пшеницы и кукурузы (-23,7 процента и -48,6 процента соответственно) оказало основное влияние на уменьшение совокупных экспортных поставок продовольствия и сырья до 40,2 миллиона долларов (-7,7 процента к сопоставимому значению 2023 года), или 25,2 процента в общей структуре.</w:t>
      </w:r>
    </w:p>
    <w:p>
      <w:pPr>
        <w:pStyle w:val="BodyTextoutside-table"/>
        <w:bidi w:val="0"/>
        <w:spacing w:before="0" w:after="283"/>
        <w:ind w:firstLine="709" w:left="0" w:right="0"/>
        <w:jc w:val="left"/>
        <w:rPr/>
      </w:pPr>
      <w:r>
        <w:rPr>
          <w:rFonts w:ascii="times new roman;times" w:hAnsi="times new roman;times"/>
          <w:sz w:val="24"/>
        </w:rPr>
        <w:t xml:space="preserve">Рост стоимостных продаж текстильных изделий (+28,2 процента к базисной отметке) не смог нивелировать темпы снижения поставок текстильных материалов (-13,6 процента), одежды (-6,8 процента) и обуви </w:t>
      </w:r>
      <w:r>
        <w:rPr/>
        <w:br/>
      </w:r>
      <w:r>
        <w:rPr>
          <w:rFonts w:ascii="times new roman;times" w:hAnsi="times new roman;times"/>
          <w:sz w:val="24"/>
        </w:rPr>
        <w:t>(-35,2 процента), что в итоге обусловило сокращение на 6,1 процента объемов реализации за рубеж товаров легкой промышленности до 13,8 миллиона долларов, которые сформировали 8,6 процента всех экспортных поставок.</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Наращивание экспорта портландцемента (в 1,5 раза к уровню первого квартала 2023 года) обеспечило рост поставок за рубеж минеральных продуктов на 22,1 процента, до 6,9 миллиона долларов (4,3 процента в структуре экспорта).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первом квартале 2024 года в корреляции с объемами производства подотрасли фиксировалось значительное сокращение экспорта продукции химической и связанных с ней отраслей промышленности до 4,9 миллиона долларов (-16,6 процента), или 3,1 процента в общей структуре.</w:t>
      </w:r>
    </w:p>
    <w:p>
      <w:pPr>
        <w:pStyle w:val="BodyTextoutside-table"/>
        <w:bidi w:val="0"/>
        <w:spacing w:before="0" w:after="283"/>
        <w:ind w:firstLine="709" w:left="0" w:right="0"/>
        <w:jc w:val="left"/>
        <w:rPr/>
      </w:pPr>
      <w:r>
        <w:rPr>
          <w:rFonts w:ascii="times new roman;times" w:hAnsi="times new roman;times"/>
          <w:sz w:val="24"/>
        </w:rPr>
        <w:t xml:space="preserve">С начала года объем экспортных продаж машиностроительной продукции составил 3,5 миллиона долларов (или 2,2 процента в общей структуре), отставание от прошлогоднего параметра выросло до </w:t>
      </w:r>
      <w:r>
        <w:rPr/>
        <w:br/>
      </w:r>
      <w:r>
        <w:rPr>
          <w:rFonts w:ascii="times new roman;times" w:hAnsi="times new roman;times"/>
          <w:sz w:val="24"/>
        </w:rPr>
        <w:t>45,1 процента.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 фоне понижательной динамики цен на мировых сырьевых рынках в первом квартале 2024 года, а также введения обязанности уплаты ввозных таможенных пошлин в бюджет Республики Молдова снижение деловой активности экономических агентов республики обусловило сокращение объемов ввоза продукции практически по всем основным товарным группам.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Металлургической продукции по итогам первого квартала 2024 года было ввезено на сумму 38,7 миллиона долларов (8,4 процента совокупного показателя), что на 7,1 процента ниже базисного значения.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Совокупные поставки продовольственных товаров (сырья) по итогам первого квартала упали на 17,9 процента, до 37,1 миллиона долларов, составив 8,1 процента суммарного импорта.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Объем импортных поставок продукции химической и связанных с ней отраслей промышленности сократился на 36,9 процента к уровню прошлого года, до 21,3 миллиона долларов, или 4,6 процента совокупного импорта.</w:t>
      </w:r>
    </w:p>
    <w:p>
      <w:pPr>
        <w:pStyle w:val="BodyTextoutside-table"/>
        <w:bidi w:val="0"/>
        <w:spacing w:before="0" w:after="283"/>
        <w:ind w:firstLine="709" w:left="0" w:right="0"/>
        <w:jc w:val="left"/>
        <w:rPr/>
      </w:pPr>
      <w:r>
        <w:rPr>
          <w:rFonts w:ascii="times new roman;times" w:hAnsi="times new roman;times"/>
          <w:sz w:val="24"/>
        </w:rPr>
        <w:t xml:space="preserve">Поставки медикаментов на территорию республики по итогам января–марта были сформированы на отметке 8,5 миллиона долларов, или </w:t>
      </w:r>
      <w:r>
        <w:rPr/>
        <w:br/>
      </w:r>
      <w:r>
        <w:rPr>
          <w:rFonts w:ascii="times new roman;times" w:hAnsi="times new roman;times"/>
          <w:sz w:val="24"/>
        </w:rPr>
        <w:t>1,8 процента в общей структуре, что практически идентично объемам прошлого года (-1,8 процента).</w:t>
      </w:r>
    </w:p>
    <w:p>
      <w:pPr>
        <w:pStyle w:val="BodyTextoutside-table"/>
        <w:bidi w:val="0"/>
        <w:spacing w:before="0" w:after="283"/>
        <w:ind w:firstLine="709" w:left="0" w:right="0"/>
        <w:jc w:val="left"/>
        <w:rPr/>
      </w:pPr>
      <w:r>
        <w:rPr>
          <w:rFonts w:ascii="times new roman;times" w:hAnsi="times new roman;times"/>
          <w:sz w:val="24"/>
        </w:rPr>
        <w:t xml:space="preserve">Сокращение поставок по всем основным группам товаров легкой промышленности (текстильные материалы и изделия, одежда, обувь) обусловило снижение объемов импорта товарной категории в 2,1 раза, </w:t>
      </w:r>
      <w:r>
        <w:rPr/>
        <w:br/>
      </w:r>
      <w:r>
        <w:rPr>
          <w:rFonts w:ascii="times new roman;times" w:hAnsi="times new roman;times"/>
          <w:sz w:val="24"/>
        </w:rPr>
        <w:t>до 7,7 миллиона долларов, составив в итоге 1,7 процента совокупного импорта.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Положительная динамика импорта отмечена по машиностроительной продукции: +7,5 процента, до 33,7 миллиона долларов (7,3 процента в общей структуре).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Инвестиционная деятельность</w:t>
      </w:r>
    </w:p>
    <w:p>
      <w:pPr>
        <w:pStyle w:val="BodyTextoutside-table"/>
        <w:bidi w:val="0"/>
        <w:spacing w:before="0" w:after="283"/>
        <w:ind w:firstLine="709" w:left="0" w:right="0"/>
        <w:jc w:val="left"/>
        <w:rPr/>
      </w:pPr>
      <w:r>
        <w:rPr>
          <w:rFonts w:ascii="times new roman;times" w:hAnsi="times new roman;times"/>
          <w:sz w:val="24"/>
        </w:rPr>
        <w:t xml:space="preserve">По итогам первого квартала 2024 года объем вложений предприятий крупного и среднего бизнеса в обновление основных фондов составил </w:t>
      </w:r>
      <w:r>
        <w:rPr/>
        <w:br/>
      </w:r>
      <w:r>
        <w:rPr>
          <w:rFonts w:ascii="times new roman;times" w:hAnsi="times new roman;times"/>
          <w:sz w:val="24"/>
        </w:rPr>
        <w:t>321,5 миллиона рублей, что на 21,1 процента ниже базисного параметра в текущих ценах.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 строительство, реконструкцию и техническое перевооружение объектов производственного назначения было направлено 269,9 миллиона рублей, или 83,9 процента совокупного показателя (-21,6 процента относительно значения аналогичного периода 2023 года).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объекты непроизводственного назначения было инвестировано 51,6 миллиона рублей, что на 18,5 процента ниже базисного параметра.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разрезе отраслей экономики отмечалась тенденция роста инвестиционной активности промышленных и сельскохозяйственных организаций. Объемы капитальных вложений в основные средства в индустриальном секторе увеличились в 1,6 раза, до 185,6 миллиона рублей, в аграрном секторе – на 25,6 процента, до 38,0 миллиона рублей, в том числе за счет сохранения активного спроса на льготные кредиты на инвестиционные цели, субсидируемые со стороны государства.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 этом отмечалось значительное сокращение капитальных вложений в развитие и расширение торговых площадей: субъекты торговли и общественного питания в рассматриваемом периоде направили в основные средства в совокупности 21,3 миллиона рублей (спад в 7,4 раза к сопоставимому уровню 2023 года).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 остальным отраслям экономики наблюдалась разновекторная динамика инвестиционной активности субъектов с преобладанием понижательных тенденций.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Потребительский рынок</w:t>
      </w:r>
    </w:p>
    <w:p>
      <w:pPr>
        <w:pStyle w:val="BodyTextoutside-table"/>
        <w:bidi w:val="0"/>
        <w:spacing w:before="0" w:after="283"/>
        <w:ind w:firstLine="709" w:left="0" w:right="0"/>
        <w:jc w:val="left"/>
        <w:rPr/>
      </w:pPr>
      <w:r>
        <w:rPr>
          <w:rFonts w:ascii="times new roman;times" w:hAnsi="times new roman;times"/>
          <w:sz w:val="24"/>
        </w:rPr>
        <w:t xml:space="preserve">В первом квартале 2024 года ситуация на внутреннем потребительском рынке республики характеризовалась повышательным трендом: совокупный объем приобретенных населением товаров и услуг увеличился </w:t>
      </w:r>
      <w:r>
        <w:rPr/>
        <w:br/>
      </w:r>
      <w:r>
        <w:rPr>
          <w:rFonts w:ascii="times new roman;times" w:hAnsi="times new roman;times"/>
          <w:sz w:val="24"/>
        </w:rPr>
        <w:t>на 10,6 процента, в номинальном выражении до 3 411,3 миллиона рублей. Без учета ценового фактора суммарные продажи выросли на 6,3 процента.</w:t>
      </w:r>
    </w:p>
    <w:p>
      <w:pPr>
        <w:pStyle w:val="BodyTextoutside-table"/>
        <w:bidi w:val="0"/>
        <w:spacing w:before="0" w:after="283"/>
        <w:ind w:firstLine="709" w:left="0" w:right="0"/>
        <w:jc w:val="left"/>
        <w:rPr/>
      </w:pPr>
      <w:r>
        <w:rPr>
          <w:rFonts w:ascii="times new roman;times" w:hAnsi="times new roman;times"/>
          <w:sz w:val="24"/>
        </w:rPr>
        <w:t xml:space="preserve">Сложившаяся динамика была обусловлена расширением продаж в сфере розничной торговли (+9,3 процента в сопоставимых ценах), </w:t>
      </w:r>
      <w:r>
        <w:rPr/>
        <w:br/>
      </w:r>
      <w:r>
        <w:rPr>
          <w:rFonts w:ascii="times new roman;times" w:hAnsi="times new roman;times"/>
          <w:sz w:val="24"/>
        </w:rPr>
        <w:t xml:space="preserve">до 2 553,2 миллиона рублей. Приоритет в расходах населения был отдан непродовольственным товарам (54,3 процента в структуре продаж, или </w:t>
      </w:r>
      <w:r>
        <w:rPr/>
        <w:br/>
      </w:r>
      <w:r>
        <w:rPr>
          <w:rFonts w:ascii="times new roman;times" w:hAnsi="times new roman;times"/>
          <w:sz w:val="24"/>
        </w:rPr>
        <w:t>1 387,3 миллиона рублей, +8,6 процента в сопоставимых ценах к уровню января–марта 2023 года). При этом в сфере продаж продовольственных товаров также отмечалась положительная динамика (+10,2 процента, в реальном выражении до 1 165,9 миллиона рублей).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январе–марте 2024 года организациями общественного питания реализовано продукции на сумму 130,7 миллиона рублей, что превысило базисный уровень на 17,8 процента в сопоставимых ценах. Объем оказанных платных услуг населению сократился на 5,6 процента, в реальном выражении до 727,4 миллиона рублей.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Инфляционные процессы на потребительском рынке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 внутреннем потребительском рынке Приднестровской Молдавской Республики в первом квартале 2024 года отмечалось замедление инфляционных процессов: официальная инфляция зафиксирована на уровне 2,1 процента, что ниже прошлогоднего параметра (2,8 процента). Основное проинфляционное влияние определялось существенными ценовыми колебаниями в сфере услуг при умеренных ценовых корректировках в продовольственном и непродовольственном сегментах.</w:t>
      </w:r>
    </w:p>
    <w:p>
      <w:pPr>
        <w:pStyle w:val="BodyTextoutside-table"/>
        <w:bidi w:val="0"/>
        <w:spacing w:before="0" w:after="283"/>
        <w:ind w:firstLine="709" w:left="0" w:right="0"/>
        <w:jc w:val="left"/>
        <w:rPr/>
      </w:pPr>
      <w:r>
        <w:rPr>
          <w:rFonts w:ascii="times new roman;times" w:hAnsi="times new roman;times"/>
          <w:sz w:val="24"/>
        </w:rPr>
        <w:t xml:space="preserve">Наиболее весомая роль в повышении стоимости стандартной потребительской корзины принадлежала тенденциям в сегменте услуг </w:t>
      </w:r>
      <w:r>
        <w:rPr/>
        <w:br/>
      </w:r>
      <w:r>
        <w:rPr>
          <w:rFonts w:ascii="times new roman;times" w:hAnsi="times new roman;times"/>
          <w:sz w:val="24"/>
        </w:rPr>
        <w:t>(+5,4 процента за январь–март). Складывающаяся динамика, в основном, была обусловлена значительным удорожанием медицинских услуг на фоне роста предельных тарифов с 1 января 2024 года.</w:t>
      </w:r>
    </w:p>
    <w:p>
      <w:pPr>
        <w:pStyle w:val="BodyTextoutside-table"/>
        <w:bidi w:val="0"/>
        <w:spacing w:before="0" w:after="283"/>
        <w:ind w:firstLine="709" w:left="0" w:right="0"/>
        <w:jc w:val="left"/>
        <w:rPr/>
      </w:pPr>
      <w:r>
        <w:rPr>
          <w:rFonts w:ascii="times new roman;times" w:hAnsi="times new roman;times"/>
          <w:sz w:val="24"/>
        </w:rPr>
        <w:t xml:space="preserve">В первом квартале продовольственные товары подорожали в среднем на 1,0 процента (против 2,5 процента в январе–марте 2023 года), при этом наибольшее ценовое давление отмечалось в сфере продаж сахара </w:t>
      </w:r>
      <w:r>
        <w:rPr/>
        <w:br/>
      </w:r>
      <w:r>
        <w:rPr>
          <w:rFonts w:ascii="times new roman;times" w:hAnsi="times new roman;times"/>
          <w:sz w:val="24"/>
        </w:rPr>
        <w:t>(+10,8 процента) и овощной продукции (+22,0 процента).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отчетном периоде сформировался нисходящий ценовой тренд по куриным яйцам (-28,2 процента за первый квартал), который напрямую коррелировал со снижением стоимости импортируемого из Республики Молдова продукта.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непродовольственном сегменте групповой индекс инфляции за квартал сложился в пределах 1,3 процента. Рост цен на горюче-смазочные материалы сформировал «топливную инфляцию» на уровне 3,5 процента. Кроме того, в отчетном периоде повышательные ценовые корректировки характеризовали стоимость табачных изделий (+3,4 процента за три месяца), медикаментов (+2,8 процента), строительных материалов (+2,3 процента), телерадиотоваров (+1,7 процента) и товаров бытовой химии (+1,2 процента).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Уровень жизни населения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Среднемесячная номинальная начисленная заработная плата в целом по экономике с учетом субъектов малого предпринимательства и некоммерческих организаций (без учета силовых структур и таможенных органов) по итогам первого квартала 2024 года оценена на уровне 6 402 рубля, что на 10,9 процента выше базисного показателя (+6,4 процента без учета влияния ценового фактора).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Превышение номинальных темпов роста уровня заработных плат по экономике над темпами удорожания стоимости минимального набора товаров и услуг, необходимых для поддержания жизнедеятельности трудоспособного населения (+2,2 процента, до 2 070,3 рубля), определило рост покупательной способности усредненной заработной платы до 3,09 такого набора (против 2,85 в январе–марте 2023 года).</w:t>
      </w:r>
    </w:p>
    <w:p>
      <w:pPr>
        <w:pStyle w:val="BodyTextoutside-table"/>
        <w:bidi w:val="0"/>
        <w:spacing w:before="0" w:after="283"/>
        <w:ind w:firstLine="709" w:left="0" w:right="0"/>
        <w:jc w:val="left"/>
        <w:rPr/>
      </w:pPr>
      <w:r>
        <w:rPr>
          <w:rFonts w:ascii="times new roman;times" w:hAnsi="times new roman;times"/>
          <w:sz w:val="24"/>
        </w:rPr>
        <w:t xml:space="preserve">Во внебюджетном секторе начисленная среднемесячная заработная плата одного работника выросла по отношению к аналогичному показателю 2023 года на 10,5 процента, до 8 010 рублей, при этом в реальном выражении ее величина увеличилась на 6,0 процента. Наибольший рост заработной платы зафиксирован у сотрудников физкультуры, отдыха и туризма </w:t>
      </w:r>
      <w:r>
        <w:rPr/>
        <w:br/>
      </w:r>
      <w:r>
        <w:rPr>
          <w:rFonts w:ascii="times new roman;times" w:hAnsi="times new roman;times"/>
          <w:sz w:val="24"/>
        </w:rPr>
        <w:t xml:space="preserve">(+30,8 процента), транспорта (+18,0 процента), лесного хозяйства </w:t>
      </w:r>
      <w:r>
        <w:rPr/>
        <w:br/>
      </w:r>
      <w:r>
        <w:rPr>
          <w:rFonts w:ascii="times new roman;times" w:hAnsi="times new roman;times"/>
          <w:sz w:val="24"/>
        </w:rPr>
        <w:t>(+16,2 процента), здравоохранения (+15,5 процента).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Средняя номинальная заработная плата занятых в бюджетном секторе сложилась на отметке 4 807 рублей (+13,5 процента к сопоставимому уровню 2023 года). С учетом корректировки на индекс инфляции материальное обеспечение работников бюджетной сферы увеличилось на 8,9 процента.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Средняя заработная плата работников бюджетной сферы в образовании в рассматриваемом периоде выросла на 19,2 процента (+14,3 процента в реальном выражении) и составила 4 847 рублей. В отрасли здравоохранения отмечено повышение средней номинальной заработной платы на 9,0 процента, до 4 563 рублей (+4,5 процента в реальном выражении).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4. Оценка перспектив развития мировой экономики до конца 2024 года</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и на 2025 год</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2023 году, несмотря на ужесточение финансовых условий и другие неблагоприятные факторы, включая сохранение напряженной геополитической ситуации, а также развитие конфликта на Ближнем Востоке, темпы роста мировой экономики в годовом исчислении превысили 3 процента.</w:t>
      </w:r>
    </w:p>
    <w:p>
      <w:pPr>
        <w:pStyle w:val="BodyTextoutside-table"/>
        <w:bidi w:val="0"/>
        <w:spacing w:before="0" w:after="283"/>
        <w:ind w:firstLine="709" w:left="0" w:right="0"/>
        <w:jc w:val="left"/>
        <w:rPr/>
      </w:pPr>
      <w:r>
        <w:rPr>
          <w:rFonts w:ascii="times new roman;times" w:hAnsi="times new roman;times"/>
          <w:sz w:val="24"/>
        </w:rPr>
        <w:t>Согласно базовому прогнозу</w:t>
      </w:r>
      <w:r>
        <w:rPr>
          <w:rFonts w:ascii="times new roman;times" w:hAnsi="times new roman;times"/>
          <w:position w:val="8"/>
          <w:sz w:val="19"/>
          <w:sz w:val="24"/>
        </w:rPr>
        <w:t>[2]</w:t>
      </w:r>
      <w:r>
        <w:rPr>
          <w:rFonts w:ascii="times new roman;times" w:hAnsi="times new roman;times"/>
          <w:sz w:val="24"/>
        </w:rPr>
        <w:t xml:space="preserve"> в 2024 и 2025 годах прогнозируется сохранение стабильных темпов роста мировой экономики в пределах </w:t>
      </w:r>
      <w:r>
        <w:rPr/>
        <w:br/>
      </w:r>
      <w:r>
        <w:rPr>
          <w:rFonts w:ascii="times new roman;times" w:hAnsi="times new roman;times"/>
          <w:sz w:val="24"/>
        </w:rPr>
        <w:t>3,2 процента. По оценкам мировых экспертов, некоторое ускорение динамики ожидается в странах с развитой экономикой (с 1,6 процента в 2023 году до 1,7 процента в 2024 году и 1,8 процента в 2025 году) при незначительном замедлении в странах с формирующимся рынком и развивающихся странах с 4,3 процента в 2023 году до 4,2 процента в 2024 и 2025 году (таблица).</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rFonts w:ascii="times new roman;times" w:hAnsi="times new roman;times"/>
          <w:sz w:val="24"/>
        </w:rPr>
      </w:pPr>
      <w:r>
        <w:rPr>
          <w:rFonts w:ascii="times new roman;times" w:hAnsi="times new roman;times"/>
          <w:sz w:val="24"/>
        </w:rPr>
        <w:t>Таблица</w:t>
      </w:r>
    </w:p>
    <w:p>
      <w:pPr>
        <w:pStyle w:val="BodyTextoutside-table"/>
        <w:bidi w:val="0"/>
        <w:spacing w:before="0" w:after="283"/>
        <w:ind w:firstLine="709" w:left="0" w:right="0"/>
        <w:jc w:val="center"/>
        <w:rPr/>
      </w:pPr>
      <w:r>
        <w:rPr>
          <w:rFonts w:ascii="times new roman;times" w:hAnsi="times new roman;times"/>
          <w:sz w:val="24"/>
        </w:rPr>
        <w:t>Оценка динамики роста реального валового внутреннего продукта</w:t>
      </w:r>
      <w:r>
        <w:rPr/>
        <w:br/>
      </w:r>
      <w:r>
        <w:rPr>
          <w:rFonts w:ascii="times new roman;times" w:hAnsi="times new roman;times"/>
          <w:sz w:val="24"/>
        </w:rPr>
        <w:t>в 2023–2025 годах, проценты</w:t>
      </w:r>
    </w:p>
    <w:tbl>
      <w:tblPr>
        <w:tblW w:w="5000" w:type="pct"/>
        <w:jc w:val="left"/>
        <w:tblInd w:w="0" w:type="dxa"/>
        <w:tblLayout w:type="fixed"/>
        <w:tblCellMar>
          <w:top w:w="28" w:type="dxa"/>
          <w:left w:w="28" w:type="dxa"/>
          <w:bottom w:w="28" w:type="dxa"/>
          <w:right w:w="28" w:type="dxa"/>
        </w:tblCellMar>
      </w:tblPr>
      <w:tblGrid>
        <w:gridCol w:w="4482"/>
        <w:gridCol w:w="1461"/>
        <w:gridCol w:w="1559"/>
        <w:gridCol w:w="2046"/>
      </w:tblGrid>
      <w:tr>
        <w:trPr/>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Наименование</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2023 год</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2024 год ожидаемый</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2025 год</w:t>
            </w:r>
          </w:p>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прогноз</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Мировая экономика</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3,2</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3,2</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3,2</w:t>
            </w:r>
          </w:p>
        </w:tc>
      </w:tr>
      <w:tr>
        <w:trPr/>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Страны с развитой экономикой</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1,6</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1,7</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1,8</w:t>
            </w:r>
          </w:p>
        </w:tc>
      </w:tr>
      <w:tr>
        <w:trPr/>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Соединенные Штаты Америки</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2,5</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2,7</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1,9</w:t>
            </w:r>
          </w:p>
        </w:tc>
      </w:tr>
      <w:tr>
        <w:trPr/>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Еврозона</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0,4</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0,8</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1,5</w:t>
            </w:r>
          </w:p>
        </w:tc>
      </w:tr>
      <w:tr>
        <w:trPr/>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rFonts w:ascii="times new roman;times" w:hAnsi="times new roman;times"/>
                <w:sz w:val="16"/>
              </w:rPr>
              <w:t xml:space="preserve">Страны с формирующимся рынком </w:t>
            </w:r>
            <w:r>
              <w:rPr/>
              <w:br/>
            </w:r>
            <w:r>
              <w:rPr>
                <w:rFonts w:ascii="times new roman;times" w:hAnsi="times new roman;times"/>
                <w:sz w:val="16"/>
              </w:rPr>
              <w:t>и развивающиеся страны</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4,3</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4,2</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4,2</w:t>
            </w:r>
          </w:p>
        </w:tc>
      </w:tr>
      <w:tr>
        <w:trPr/>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Российская Федерация</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3,6</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3,2</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1,8</w:t>
            </w:r>
          </w:p>
        </w:tc>
      </w:tr>
      <w:tr>
        <w:trPr/>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Украина</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5,0</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3,2</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6,5</w:t>
            </w:r>
          </w:p>
        </w:tc>
      </w:tr>
      <w:tr>
        <w:trPr/>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Молдова</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1,0</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2,6</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4,8</w:t>
            </w:r>
          </w:p>
        </w:tc>
      </w:tr>
      <w:tr>
        <w:trPr/>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Китай</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5,2</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4,6</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4,1</w:t>
            </w:r>
          </w:p>
        </w:tc>
      </w:tr>
      <w:tr>
        <w:trPr/>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Индия</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7,8</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6,8</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6,5</w:t>
            </w:r>
          </w:p>
        </w:tc>
      </w:tr>
    </w:tbl>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Fonts w:ascii="times new roman;times" w:hAnsi="times new roman;times"/>
          <w:sz w:val="24"/>
        </w:rPr>
        <w:t xml:space="preserve">Тем не менее, ожидается, что общая макроэкономическая политика в большинстве стран останется ограничительной, при этом реальные процентные ставки будут снижаться лишь постепенно, а бюджетная консолидация в большинстве стран будет умеренной в течение следующих </w:t>
      </w:r>
      <w:r>
        <w:rPr/>
        <w:br/>
      </w:r>
      <w:r>
        <w:rPr>
          <w:rFonts w:ascii="times new roman;times" w:hAnsi="times new roman;times"/>
          <w:sz w:val="24"/>
        </w:rPr>
        <w:t>2 (двух) лет. Важным исключением является Китай, где низкие процентные ставки и значительная дополнительная финансовая поддержка, вероятно, появятся в 2024 и 2025 годах.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Общемировым трендом в 2023 году стало замедление инфляционных процессов. В многом этому способствовали предпринятые государствами ограничительные меры денежно-кредитной политики, а также снижение цен на энергоносители и ослабление давления в цепочке поставок. Немаловажную роль сыграло резкое снижение цен на продовольствие в большинстве стран благодаря хорошим урожаям ключевых культур, таких как пшеница и кукуруза, цены на которые быстро упали с максимумов, достигнутых после введения военного положения на Украине. При этом рост цен на услуги был более устойчивым и в большинстве стран оставался значительно выше средних показателей до пандемии.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Согласно прогнозам общая инфляция в мире снизится со среднегодового уровня в 6,8 процента в 2023 году до 5,9 процента в 2024 году и 4,5 процента в 2025 году, при этом страны с развитой экономикой вернутся к своим целевым показателям по инфляции раньше, чем страны с формирующимся рынком и развивающиеся страны.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 сырьевых рынках при условии не усиления в краткосрочной перспективе геополитической напряженности ожидается улучшение предложения сырьевых товаров с увеличением на них спроса на фоне все еще сдержанного роста мирового валового внутреннего продукта.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 фоне усиления опасений по поводу конфликта на Ближнем Востоке при сокращении добычи Организацией стран – экспортеров нефти плюс, а также некоторых признаков укрепления промышленного спроса, по прогнозам, ожидается незначительный рост средней цены на нефть марки Brent – с 82,6 доллара за баррель в 2023 году до 84 долларов в 2024 году с последующим снижением до 79 долларов в 2025 году.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После пиковых максимумов цен на природный газ в Европе в 2022 году мягкая погода, низкий промышленный спрос и достаточные запасы сжиженного природного газа привели к увеличению объемов хранения газа и снижению цен в 2023 году. В 2024 году прогнозируется дальнейшее снижение цены на природный газ в Европе с последующим ростом в 2025 году.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Ожидается, что средняя цена на золото достигнет рекордного уровня в 2024 году, а затем немного снизится в 2025 году.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Базовый прогноз предполагает сохранение понижательной динамики цен на продовольствие в 2024 и в 2025 годах, что будет отражать увеличение поставок и смягчение последствий Эль-Ниньо, которые скажутся на продовольственных культурах.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Ожидается, что совокупный индекс цен на металлы в 2024–2025 годах практически не изменится. По прогнозам, цены на основные цветные металлы будут расти в течение 2 (двух) лет и останутся значительно выше допандемийного уровня, отражающего подъем мировой промышленной активности и растущего производства экологически чистых энергетических технологий. В то же время, напротив, прогнозируется дальнейшее снижение цен на железную руду, которая важна для строительства недвижимости, но менее актуальна для перехода к «зеленой» экономике.</w:t>
      </w:r>
    </w:p>
    <w:p>
      <w:pPr>
        <w:pStyle w:val="BodyTextoutside-table"/>
        <w:bidi w:val="0"/>
        <w:spacing w:before="0" w:after="283"/>
        <w:ind w:firstLine="709" w:left="0" w:right="0"/>
        <w:jc w:val="center"/>
        <w:outlineLvl w:val="0"/>
        <w:rPr/>
      </w:pPr>
      <w:r>
        <w:rPr/>
        <w:t> </w:t>
      </w:r>
      <w:r>
        <w:rPr>
          <w:rFonts w:ascii="times new roman;times" w:hAnsi="times new roman;times"/>
          <w:sz w:val="24"/>
        </w:rPr>
        <w:t>5. Оценка факторов и ограничений социально-экономического развития</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до конца 2024 года и на 2025 год</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Сохранение неопределенности развития геополитической ситуации, усиление региональной нестабильности, а также повышенные риски наращивания рестриктивных мер со стороны Республики Молдова в отношении приднестровских экономических агентов окажут основное влияние на вектор развития экономики Приднестровской Молдавской Республики до конца 2024 года и в 2025 году.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сфере международных расчетов и платежей продолжение реализации гибкой валютной политики Приднестровского республиканского банка до конца 2024 года и в 2025 году позволит сохранить баланс интересов между стабильностью внутреннего валютного рынка и обеспечением непрерывности работы участников внешнеэкономической деятельности.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Базовый прогнозный сценарий социально-экономического развития республики на 2025 год основывается на следующих предпосылках: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неусиление санкционного давления со стороны Республики Молдова, в частности, невведение дополнительных ограничительных мер фискального характера;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сохранение возможности осуществления платежно-расчетных операций с зарубежными контрагентами;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сохранение бесперебойного газоснабжения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сохранение стабильной работы металлургической отрасли;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заключение контракта на экспорт электроэнергии в Республику Молдова до конца 2025 года, а также стабильный спрос отечественных энергоемких производств;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поддержание на внутреннем валютном рынке официального курса доллара к рублю в рамках границ утвержденного валютного коридора.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pPr>
      <w:r>
        <w:rPr/>
        <w:t> </w:t>
      </w:r>
      <w:r>
        <w:rPr>
          <w:rFonts w:ascii="times new roman;times" w:hAnsi="times new roman;times"/>
          <w:sz w:val="24"/>
        </w:rPr>
        <w:t>6. Оценка ожидаемого уровня социально-экономического развития</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до конца 2024 года</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Сохранение напряженного внешнего фона по периметру Приднестровской Молдавской Республики, а также санкционное давление со стороны Республики Молдова будут оказывать непосредственное влияние на развитие экономики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При отсутствии новых внешних шоков и вызовов в отраслевом представлении ожидаемый объем промышленного производства республики по крупным и средним предприятиям с учетом давальческого сырья по итогам 2024 года в текущих ценах может сложиться в пределах 16 357,8 миллиона рублей, что на 2,7 процента превысит уровень 2023 года. Показатель сформирован на основе данных, представленных ведущими промышленными хозяйствующими субъектами республики. Следует отметить, что данная динамика преимущественно будет обеспечена сохранением повышательного тренда в подотраслях, ориентированных на внутренний рынок либо обладающих внутренней ресурсной базой. </w:t>
      </w:r>
      <w:r>
        <w:rPr>
          <w:rFonts w:ascii="times new roman;times" w:hAnsi="times new roman;times"/>
          <w:strike/>
          <w:sz w:val="24"/>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 учетом ожидаемой динамики цен на сельскохозяйственную продукцию, а также оценки урожая в 2024 году объем валовой продукции в аграрном секторе сократится на 8,0 процентов, до 4 052,9 миллиона рублей.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Сохранение роста потребительской активности на фоне относительно низкого инфляционного давления (в пределах 4,5 процента плюс-минус 1 процентный пункт в годовом выражении) определит расширение объема розничного товарооборота на 6,9 процента, до 10 923,7 миллиона рублей в номинальном выражении.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Исходя из заявленных оценок крупнейших хозяйствующих субъектов республики в 2024 году ожидается сокращение объема инвестиций в основной капитал в текущих ценах на 1,4 процента, до 2 193,5 миллиона рублей. </w:t>
      </w:r>
    </w:p>
    <w:p>
      <w:pPr>
        <w:pStyle w:val="BodyTextoutside-table"/>
        <w:bidi w:val="0"/>
        <w:spacing w:before="0" w:after="283"/>
        <w:ind w:firstLine="709" w:left="0" w:right="0"/>
        <w:jc w:val="left"/>
        <w:rPr/>
      </w:pPr>
      <w:r>
        <w:rPr>
          <w:rFonts w:ascii="times new roman;times" w:hAnsi="times new roman;times"/>
          <w:sz w:val="24"/>
        </w:rPr>
        <w:t xml:space="preserve">Экспертные оценки развития ситуации на мировых сырьевых рынках, прогнозы крупнейших хозяйствующих субъектов Приднестровской Молдавской Республики, а также текущая динамика внешнеторгового оборота республики обусловили формирование оценки стоимостных объемов экспорта товаров по итогам 2024 года в пределах 730,5 миллиона долларов </w:t>
      </w:r>
      <w:r>
        <w:rPr/>
        <w:br/>
      </w:r>
      <w:r>
        <w:rPr>
          <w:rFonts w:ascii="times new roman;times" w:hAnsi="times new roman;times"/>
          <w:sz w:val="24"/>
        </w:rPr>
        <w:t>(-0,3 процента). Совокупный показатель импорта может сложиться в пределах 1 652,5 миллиона долларов (-29,3 процента). Таким образом, внешнеторговый оборот по итогам 2024 года оценивается в размере 2 383,0 миллиона долларов, или -22,3 процента к параметру 2023 года.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 учетом мер, реализуемых государством и бизнесом в сфере оплаты труда, ожидаемая среднемесячная начисленная заработная плата по экономике в 2024 году вырастет на 6,5 процента, до 6 532,7 рубля.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условиях сохранения достаточно устойчивых темпов расширения валовой добавленной стоимости в сфере услуг, как рыночных, так и нерыночных, номинальные темпы прироста валового внутреннего продукта по итогам года ожидаются на уровне 2,3 процента, до 20 033,5 миллиона рублей.</w:t>
      </w:r>
    </w:p>
    <w:p>
      <w:pPr>
        <w:pStyle w:val="BodyTextoutside-table"/>
        <w:bidi w:val="0"/>
        <w:spacing w:before="0" w:after="283"/>
        <w:ind w:firstLine="709" w:left="0" w:right="0"/>
        <w:jc w:val="center"/>
        <w:outlineLvl w:val="0"/>
        <w:rPr/>
      </w:pPr>
      <w:r>
        <w:rPr/>
        <w:t> </w:t>
      </w:r>
      <w:r>
        <w:rPr>
          <w:rFonts w:ascii="times new roman;times" w:hAnsi="times new roman;times"/>
          <w:sz w:val="24"/>
        </w:rPr>
        <w:t>7. Прогноз социально-экономического развития республики</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в 2025 году</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Прогноз социально-экономического развития республики на 2025 год формируется в крайне сложных условиях. Степень неопределенности продолжает усиливаться, при этом преобладают риски негативного сценария развития ситуации. Это связано, прежде всего, с высокой вероятностью введения со стороны Республики Молдова новых санкционных и ограничительных мер в отношении приднестровских хозяйствующих субъектов. Кроме того, сохраняются риски в части обеспечения устойчивого энергоснабжения республики на фоне продолжения военных действий на территории Украины.</w:t>
      </w:r>
    </w:p>
    <w:p>
      <w:pPr>
        <w:pStyle w:val="BodyTextoutside-table"/>
        <w:bidi w:val="0"/>
        <w:spacing w:before="0" w:after="283"/>
        <w:ind w:firstLine="709" w:left="0" w:right="0"/>
        <w:jc w:val="left"/>
        <w:rPr/>
      </w:pPr>
      <w:r>
        <w:rPr>
          <w:rFonts w:ascii="times new roman;times" w:hAnsi="times new roman;times"/>
          <w:sz w:val="24"/>
        </w:rPr>
        <w:t xml:space="preserve">С учетом обозначенных факторов, принимая во внимание оценку перспектив развития, сформированную ведущими предприятиями индустриального сектора республики, в краткосрочной перспективе прогнозируется отрицательная динамика промышленного выпуска в пределах </w:t>
      </w:r>
      <w:r>
        <w:rPr/>
        <w:br/>
      </w:r>
      <w:r>
        <w:rPr>
          <w:rFonts w:ascii="times new roman;times" w:hAnsi="times new roman;times"/>
          <w:sz w:val="24"/>
        </w:rPr>
        <w:t>-8,0 процента в номинальном выражении к оценке 2024 года.</w:t>
      </w:r>
    </w:p>
    <w:p>
      <w:pPr>
        <w:pStyle w:val="BodyTextoutside-table"/>
        <w:bidi w:val="0"/>
        <w:spacing w:before="0" w:after="283"/>
        <w:ind w:firstLine="709" w:left="0" w:right="0"/>
        <w:jc w:val="left"/>
        <w:rPr/>
      </w:pPr>
      <w:r>
        <w:rPr>
          <w:rFonts w:ascii="times new roman;times" w:hAnsi="times new roman;times"/>
          <w:sz w:val="24"/>
        </w:rPr>
        <w:t xml:space="preserve">В сельском хозяйстве ожидается рост натуральных объемов производства в части продукции животноводства, а также сельскохозяйственных культур, ориентированных преимущественно на внутренний рынок. Исходя из данных тенденций, а также при сохранении уровня цен на зерновые в пределах 2024 года совокупный показатель валовой продукции сельского хозяйства будет определяться ростом в диапазоне </w:t>
      </w:r>
      <w:r>
        <w:rPr/>
        <w:br/>
      </w:r>
      <w:r>
        <w:rPr>
          <w:rFonts w:ascii="times new roman;times" w:hAnsi="times new roman;times"/>
          <w:sz w:val="24"/>
        </w:rPr>
        <w:t>3,6 процента.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 этом государство продолжит реализацию следующих программных мероприятий в аграрной сфере: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улучшение условий развития аграрного бизнеса в целях насыщения внутреннего рынка продукцией отечественного производства и наращивания экспортных поставок;</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стимулирование развития орошаемого земледелия как основы роста производства сельскохозяйственной продукции;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реализация мероприятий, направленных на рациональное и эффективное использование земельных ресурсов, сохранение и повышение плодородия почв;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содействие сохранению высокой инвестиционной активности в агропромышленном комплексе;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прогноз и мониторинг работ по защите растений, реализация мер по проведению карантинных мероприятий;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осуществление контроля соблюдения требований ветеринарного законодательства, проведение противоэпизоотических мероприятий.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2025 году инвестиционная активность сохранится на низком уровне вследствие негативного влияния внешних факторов. Прогнозируется отрицательная динамика инвестиций в основной капитал в номинальном выражении в пределах 5,4 процента.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 учетом возможных сценариев развития ситуации в основных отраслях реального сектора экономики в условиях санкционного давления со стороны Республики Молдова, прогнозных оценок международных институтов о ситуации на мировых сырьевых рынках в 2025 году прогнозируется снижение совокупного внешнеторгового оборота на 2,0 процента к оценке 2024 года, в том числе импорта – в пределах 2,8 процента. По совокупному экспорту прогнозируется незначительное сокращение объемов в пределах 0,4 процента.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 потребительском рынке с учетом прогнозируемых тенденций замедления общемирового уровня инфляции повышение среднего уровня цен в 2025 году прогнозируется в пределах целевого ориентира 4 процента плюс-минус 1 процентный пункт в годовом выражении.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Снижение инфляционного давления в совокупности с мерами по повышению заработных плат, принимаемыми государством и бизнес-сектором, продолжат оказывать стимулирующее влияние на потребительскую активность в республике, в результате розничный товарооборот может вырасти в пределах 4,8 процента в номинальном выражении.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Исходя из прогнозов основных представителей промышленного сектора экономики, торговли, отраслей транспорта, связи и строительства среднемесячная номинальная начисленная заработная плата одного работника по экономике может вырасти в пределах 4,5 процента к оценке 2024 года.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целях недопущения оттока трудовых ресурсов государством будет продолжена реализация активной политики в области регулирования рынка труда и развития занятости населения по следующим направлениям: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профессиональное обучение безработных граждан, которое позволит им в течение короткого времени приобрести профессиональные знания или повысить квалификацию, что обеспечивает повышение их конкурентоспособности на рынке труда и расширяет возможность трудоустройства;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реализация ряда государственных программ занятости: «Молодежная практика», «Стажер», «Шанс»;</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организация общественных работ с целью оказания материальной поддержки неконкурентоспособным на рынке труда гражданам, приобретения трудовых навыков молодежи, не имеющей трудового стажа;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организация занятости несовершеннолетней молодежи в целях их адаптации к трудовой деятельности и как эффективная мера по профилактике подростковой преступности;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обеспечение государственных гарантий и исполнения законодательства в сфере занятости населения;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повышение информированности населения республики и работодателей о состоянии рынка труда посредством использования средств массовой информации, глобальной сети Интернет, а также путем проведения ярмарок вакансий и учебных мест.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Исходя из обозначенных направлений, которые при заданных сценарных условиях могут характеризовать развитие реального сектора экономики, с учетом прогнозируемых конъюнктурных тенденций в мировой экономике в 2025 году показатель валового внутреннего продукта в номинальном выражении будет характеризоваться слабоположительной динамикой номинального прироста в пределах 0,6 процента. В реальном выражении спад составит порядка 3 процентов.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Учитывая прогнозируемую слабоположительную динамику номинального размера объема валового внутреннего продукта, в 2025 году ожидается увеличение: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предельного размера доходов государственного бюджета до уровня ориентировочно 4 240,7 миллиона рублей;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предельного размера расходов государственного бюджета до уровня ориентировочно 7 280,9 миллиона рублей;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предельного уровня дефицита государственного бюджета до показателя ориентировочно 3 040,2 миллиона рублей.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случае негативного развития ситуации на внешних и внутреннем рынках, сопровождающегося существенным изменением базовых сценарных условий, основные макроэкономические показатели будут подвержены соответствующим корректировкам.</w:t>
      </w:r>
    </w:p>
    <w:p>
      <w:pPr>
        <w:pStyle w:val="BodyTextoutside-table"/>
        <w:bidi w:val="0"/>
        <w:spacing w:before="0" w:after="283"/>
        <w:ind w:firstLine="709" w:left="0" w:right="0"/>
        <w:jc w:val="left"/>
        <w:rPr/>
      </w:pPr>
      <w:r>
        <w:rPr/>
        <w:t> </w:t>
      </w:r>
    </w:p>
    <w:p>
      <w:pPr>
        <w:pStyle w:val="BodyText"/>
        <w:bidi w:val="0"/>
        <w:spacing w:before="0" w:after="0"/>
        <w:jc w:val="left"/>
        <w:rPr/>
      </w:pPr>
      <w:r>
        <w:rPr/>
      </w:r>
    </w:p>
    <w:p>
      <w:pPr>
        <w:pStyle w:val="HorizontalLine"/>
        <w:pBdr>
          <w:bottom w:val="double" w:sz="2" w:space="0" w:color="808080"/>
        </w:pBdr>
        <w:bidi w:val="0"/>
        <w:ind w:right="6838"/>
        <w:jc w:val="left"/>
        <w:rPr/>
      </w:pPr>
      <w:r>
        <w:rPr/>
      </w:r>
    </w:p>
    <w:p>
      <w:pPr>
        <w:sectPr>
          <w:type w:val="nextPage"/>
          <w:pgSz w:w="11906" w:h="16838"/>
          <w:pgMar w:left="1134" w:right="567" w:gutter="0" w:header="0" w:top="567" w:footer="0" w:bottom="567"/>
          <w:pgNumType w:fmt="decimal"/>
          <w:formProt w:val="false"/>
          <w:textDirection w:val="lrTb"/>
          <w:docGrid w:type="default" w:linePitch="600" w:charSpace="32768"/>
        </w:sectPr>
      </w:pP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В соответствии с Классификатором отраслей народного хозяйства Приднестровской Молдавской Республики, с учетом давальческого сырья.</w:t>
      </w:r>
    </w:p>
    <w:p>
      <w:pPr>
        <w:sectPr>
          <w:type w:val="continuous"/>
          <w:pgSz w:w="11906" w:h="16838"/>
          <w:pgMar w:left="1134" w:right="567" w:gutter="0" w:header="0" w:top="567" w:footer="0" w:bottom="567"/>
          <w:formProt w:val="false"/>
          <w:textDirection w:val="lrTb"/>
          <w:docGrid w:type="default" w:linePitch="600" w:charSpace="32768"/>
        </w:sectPr>
      </w:pP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Международный валютный фонд, обзор, апрель 2024 года.</w:t>
      </w:r>
    </w:p>
    <w:p>
      <w:pPr>
        <w:pStyle w:val="BodyTextoutside-table"/>
        <w:bidi w:val="0"/>
        <w:spacing w:before="0" w:after="283"/>
        <w:jc w:val="left"/>
        <w:rPr/>
      </w:pPr>
      <w:r>
        <w:rPr/>
        <w:t> </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1</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 xml:space="preserve">к Прогнозу социально-экономического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развития Приднестровской Молдавской Республики на 2025 год</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 xml:space="preserve">Основные макроэкономические показатели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Приднестровской Молдавской Республики на 2025 год</w:t>
      </w:r>
    </w:p>
    <w:p>
      <w:pPr>
        <w:pStyle w:val="BodyTextoutside-table"/>
        <w:bidi w:val="0"/>
        <w:spacing w:before="0" w:after="283"/>
        <w:ind w:firstLine="709" w:left="0" w:right="0"/>
        <w:jc w:val="left"/>
        <w:rPr/>
      </w:pPr>
      <w:r>
        <w:rPr/>
        <w:t> </w:t>
      </w:r>
    </w:p>
    <w:tbl>
      <w:tblPr>
        <w:tblW w:w="5000" w:type="pct"/>
        <w:jc w:val="left"/>
        <w:tblInd w:w="0" w:type="dxa"/>
        <w:tblLayout w:type="fixed"/>
        <w:tblCellMar>
          <w:top w:w="28" w:type="dxa"/>
          <w:left w:w="28" w:type="dxa"/>
          <w:bottom w:w="28" w:type="dxa"/>
          <w:right w:w="28" w:type="dxa"/>
        </w:tblCellMar>
      </w:tblPr>
      <w:tblGrid>
        <w:gridCol w:w="623"/>
        <w:gridCol w:w="3193"/>
        <w:gridCol w:w="1177"/>
        <w:gridCol w:w="950"/>
        <w:gridCol w:w="901"/>
        <w:gridCol w:w="934"/>
        <w:gridCol w:w="1206"/>
        <w:gridCol w:w="1221"/>
      </w:tblGrid>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Факт</w:t>
            </w:r>
          </w:p>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2021 год</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Факт</w:t>
            </w:r>
          </w:p>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2022 год</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Факт</w:t>
            </w:r>
          </w:p>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2023 год</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Оценка</w:t>
            </w:r>
          </w:p>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2024 год</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Прогноз</w:t>
            </w:r>
          </w:p>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2025 год</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1</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Номинальный объем валового внутреннего</w:t>
            </w:r>
          </w:p>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 xml:space="preserve">продукта </w:t>
            </w:r>
            <w:r>
              <w:rPr>
                <w:rFonts w:ascii="times new roman;times" w:hAnsi="times new roman;times"/>
                <w:position w:val="5"/>
                <w:sz w:val="13"/>
                <w:sz w:val="16"/>
              </w:rPr>
              <w:t>1</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млн руб.</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19 250,2</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18 448,5</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19 574,5</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20 033,5</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20 144,0</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2</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Объем промышленного производства по</w:t>
            </w:r>
          </w:p>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 xml:space="preserve">крупным и средним организациям </w:t>
            </w:r>
            <w:r>
              <w:rPr>
                <w:rFonts w:ascii="times new roman;times" w:hAnsi="times new roman;times"/>
                <w:position w:val="5"/>
                <w:sz w:val="13"/>
                <w:sz w:val="16"/>
              </w:rPr>
              <w:t>2</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млн руб.</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16 666,1</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15 742,7</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15 933,3</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16 357,8</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15 046,7</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3</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Объем валовой продукции сельского</w:t>
            </w:r>
          </w:p>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 xml:space="preserve">хозяйства </w:t>
            </w:r>
            <w:r>
              <w:rPr>
                <w:rFonts w:ascii="times new roman;times" w:hAnsi="times new roman;times"/>
                <w:position w:val="5"/>
                <w:sz w:val="13"/>
                <w:sz w:val="16"/>
              </w:rPr>
              <w:t>3</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млн руб.</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4 662,9</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4 266,9</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4 403,8</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4 052,9</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4 198,7</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4</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Объем инвестиций в основной капитал</w:t>
            </w:r>
            <w:r>
              <w:rPr>
                <w:rFonts w:ascii="times new roman;times" w:hAnsi="times new roman;times"/>
                <w:position w:val="5"/>
                <w:sz w:val="13"/>
                <w:sz w:val="16"/>
              </w:rPr>
              <w:t>4</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млн руб.</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2 263,8</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2 578,2</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2 223,6</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2 193,5</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2 075,8</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5</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Объем розничного товарооборота</w:t>
            </w:r>
            <w:r>
              <w:rPr>
                <w:rFonts w:ascii="times new roman;times" w:hAnsi="times new roman;times"/>
                <w:position w:val="5"/>
                <w:sz w:val="13"/>
                <w:sz w:val="16"/>
              </w:rPr>
              <w:t>5</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млн руб.</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9 077,4</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9 617,5</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10 217,4</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10 923,7</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11 451,9</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6</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Объем внешнеторгового оборота</w:t>
            </w:r>
            <w:r>
              <w:rPr>
                <w:rFonts w:ascii="times new roman;times" w:hAnsi="times new roman;times"/>
                <w:position w:val="5"/>
                <w:sz w:val="13"/>
                <w:sz w:val="16"/>
              </w:rPr>
              <w:t>6</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миллионов</w:t>
            </w:r>
          </w:p>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долларов</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2 584,9</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3 221,0</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3 068,6</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2 383,0</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2 334,4</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6.1</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Объем экспорта товаров</w:t>
            </w:r>
            <w:r>
              <w:rPr>
                <w:rFonts w:ascii="times new roman;times" w:hAnsi="times new roman;times"/>
                <w:position w:val="5"/>
                <w:sz w:val="13"/>
                <w:sz w:val="16"/>
              </w:rPr>
              <w:t>6</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миллионов</w:t>
            </w:r>
          </w:p>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долларов</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938,9</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738,3</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732,7</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730,5</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727,9</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6.2</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Объем импорта товаров</w:t>
            </w:r>
            <w:r>
              <w:rPr>
                <w:rFonts w:ascii="times new roman;times" w:hAnsi="times new roman;times"/>
                <w:position w:val="5"/>
                <w:sz w:val="13"/>
                <w:sz w:val="16"/>
              </w:rPr>
              <w:t>6</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миллионов</w:t>
            </w:r>
          </w:p>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долларов</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1 646,0</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2 482,6</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2 335,8</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1 652,5</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1 606,5</w:t>
            </w:r>
          </w:p>
        </w:tc>
      </w:tr>
      <w:tr>
        <w:trPr/>
        <w:tc>
          <w:tcPr>
            <w:tcW w:w="0" w:type="auto"/>
            <w:vMerge w:val="restart"/>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7</w:t>
            </w:r>
          </w:p>
        </w:tc>
        <w:tc>
          <w:tcPr>
            <w:tcW w:w="0" w:type="auto"/>
            <w:vMerge w:val="restart"/>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Инфляция</w:t>
            </w:r>
            <w:r>
              <w:rPr>
                <w:rFonts w:ascii="times new roman;times" w:hAnsi="times new roman;times"/>
                <w:position w:val="5"/>
                <w:sz w:val="13"/>
                <w:sz w:val="16"/>
              </w:rPr>
              <w:t>7</w:t>
            </w:r>
          </w:p>
        </w:tc>
        <w:tc>
          <w:tcPr>
            <w:tcW w:w="0" w:type="auto"/>
            <w:vMerge w:val="restart"/>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w:t>
            </w:r>
          </w:p>
        </w:tc>
        <w:tc>
          <w:tcPr>
            <w:tcW w:w="0" w:type="auto"/>
            <w:vMerge w:val="restart"/>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7,4</w:t>
            </w:r>
          </w:p>
        </w:tc>
        <w:tc>
          <w:tcPr>
            <w:tcW w:w="0" w:type="auto"/>
            <w:vMerge w:val="restart"/>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13,2</w:t>
            </w:r>
          </w:p>
        </w:tc>
        <w:tc>
          <w:tcPr>
            <w:tcW w:w="0" w:type="auto"/>
            <w:vMerge w:val="restart"/>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4,2</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4,5</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4,0</w:t>
            </w:r>
          </w:p>
        </w:tc>
      </w:tr>
      <w:tr>
        <w:trPr/>
        <w:tc>
          <w:tcPr>
            <w:tcW w:w="623"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3193"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1177"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950"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901"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934"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 процентный пункт)</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 процентный пункт)</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8</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 xml:space="preserve">Среднесписочная численность работающих </w:t>
            </w:r>
            <w:r>
              <w:rPr>
                <w:rFonts w:ascii="times new roman;times" w:hAnsi="times new roman;times"/>
                <w:position w:val="5"/>
                <w:sz w:val="13"/>
                <w:sz w:val="16"/>
              </w:rPr>
              <w:t>8</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тысяч</w:t>
            </w:r>
          </w:p>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человек</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107,8</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105,3</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103,4</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102,9</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102,9</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9</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Номинальная среднемесячная заработная плата одного работника в целом по</w:t>
            </w:r>
          </w:p>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экономике</w:t>
            </w:r>
            <w:r>
              <w:rPr>
                <w:rFonts w:ascii="times new roman;times" w:hAnsi="times new roman;times"/>
                <w:position w:val="5"/>
                <w:sz w:val="13"/>
                <w:sz w:val="16"/>
              </w:rPr>
              <w:t>9</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рублей</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5 345,00</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5 605,00</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6 134,00</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6 532,70</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6 826,70</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10</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Доходы государственного бюджета</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млн руб.</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3 386,90</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3 568,30</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3 936,30</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4 058,10</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4 240,70</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10.1</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в том числе текущие доходы</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млн руб.</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2 597,60</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2 866,40</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3 024,20</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3 295,80</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3 498,80</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10.2</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доходы от продажи основного капитала</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млн руб.</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25,9</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56,6</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38,4</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25</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25</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11</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Расходы государственного бюджета</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млн руб.</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5 300,40</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5 585,00</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6 635,60</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6 967,40</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7 280,90</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12</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Дефицит государственного бюджета</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млн руб.</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1 913,50</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2 016,70</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2 699,30</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2 909,30</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3 040,20</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13</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Налоговая нагрузка государственного бюджета на рубль объема промышленного и сельскохозяйственного производства</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13,3</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16,4</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16,5</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17,8</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17,8</w:t>
            </w:r>
          </w:p>
        </w:tc>
      </w:tr>
    </w:tbl>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Примечание: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position w:val="8"/>
          <w:sz w:val="19"/>
          <w:sz w:val="24"/>
        </w:rPr>
        <w:t>1</w:t>
      </w:r>
      <w:r>
        <w:rPr>
          <w:rFonts w:ascii="times new roman;times" w:hAnsi="times new roman;times"/>
          <w:sz w:val="24"/>
        </w:rPr>
        <w:t xml:space="preserve"> – уточнен Государственной службой статистики Министерства экономического развития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position w:val="8"/>
          <w:sz w:val="19"/>
          <w:sz w:val="24"/>
        </w:rPr>
        <w:t>2</w:t>
      </w:r>
      <w:r>
        <w:rPr>
          <w:rFonts w:ascii="times new roman;times" w:hAnsi="times new roman;times"/>
          <w:sz w:val="24"/>
        </w:rPr>
        <w:t xml:space="preserve"> – по крупным и средним организациям в соответствии с Классификатором отраслей народного хозяйства Приднестровской Молдавской Республики с учетом давальческого сырья, уточнен Государственной службой статистики Министерства экономического развития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position w:val="8"/>
          <w:sz w:val="19"/>
          <w:sz w:val="24"/>
        </w:rPr>
        <w:t>3</w:t>
      </w:r>
      <w:r>
        <w:rPr>
          <w:rFonts w:ascii="times new roman;times" w:hAnsi="times new roman;times"/>
          <w:sz w:val="24"/>
        </w:rPr>
        <w:t xml:space="preserve"> – во всех категориях хозяйств, уточнен Государственной службой статистики Министерства экономического развития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position w:val="8"/>
          <w:sz w:val="19"/>
          <w:sz w:val="24"/>
        </w:rPr>
        <w:t>4</w:t>
      </w:r>
      <w:r>
        <w:rPr>
          <w:rFonts w:ascii="times new roman;times" w:hAnsi="times new roman;times"/>
          <w:sz w:val="24"/>
        </w:rPr>
        <w:t xml:space="preserve"> – с учетом объемов субъектов малого предпринимательства и индивидуальных застройщиков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position w:val="8"/>
          <w:sz w:val="19"/>
          <w:sz w:val="24"/>
        </w:rPr>
        <w:t>5</w:t>
      </w:r>
      <w:r>
        <w:rPr>
          <w:rFonts w:ascii="times new roman;times" w:hAnsi="times new roman;times"/>
          <w:sz w:val="24"/>
        </w:rPr>
        <w:t xml:space="preserve"> – с учетом объемов субъектов малого предпринимательства и физических лиц</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position w:val="8"/>
          <w:sz w:val="19"/>
          <w:sz w:val="24"/>
        </w:rPr>
        <w:t>6</w:t>
      </w:r>
      <w:r>
        <w:rPr>
          <w:rFonts w:ascii="times new roman;times" w:hAnsi="times new roman;times"/>
          <w:sz w:val="24"/>
        </w:rPr>
        <w:t xml:space="preserve"> – данные Государственного таможенного комитета Приднестровской Молдавской Республики по итогам соответствующего года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position w:val="8"/>
          <w:sz w:val="19"/>
          <w:sz w:val="24"/>
        </w:rPr>
        <w:t>7</w:t>
      </w:r>
      <w:r>
        <w:rPr>
          <w:rFonts w:ascii="times new roman;times" w:hAnsi="times new roman;times"/>
          <w:sz w:val="24"/>
        </w:rPr>
        <w:t xml:space="preserve"> – к декабрю предыдущего года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position w:val="8"/>
          <w:sz w:val="19"/>
          <w:sz w:val="24"/>
        </w:rPr>
        <w:t>8</w:t>
      </w:r>
      <w:r>
        <w:rPr>
          <w:rFonts w:ascii="times new roman;times" w:hAnsi="times new roman;times"/>
          <w:sz w:val="24"/>
        </w:rPr>
        <w:t xml:space="preserve"> – с учетом субъектов малого предпринимательства и некоммерческих организаций и без учета силовых структур и таможенных органов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position w:val="8"/>
          <w:sz w:val="19"/>
          <w:sz w:val="24"/>
        </w:rPr>
        <w:t>9</w:t>
      </w:r>
      <w:r>
        <w:rPr>
          <w:rFonts w:ascii="times new roman;times" w:hAnsi="times new roman;times"/>
          <w:sz w:val="24"/>
        </w:rPr>
        <w:t xml:space="preserve"> – начисленная заработная плата, с учетом субъектов малого предпринимательства и некоммерческих организаций и без учета силовых структур и таможенных органов республики, уточнена Государственной службой статистики Министерства экономического развития Приднестровской Молдавской Республики</w:t>
      </w:r>
    </w:p>
    <w:sectPr>
      <w:type w:val="continuous"/>
      <w:pgSz w:w="11906" w:h="16838"/>
      <w:pgMar w:left="1134" w:right="567" w:gutter="0" w:header="0" w:top="567" w:footer="0" w:bottom="567"/>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character" w:styleId="Emphasis">
    <w:name w:val="Emphasis"/>
    <w:qFormat/>
    <w:rPr>
      <w:i/>
      <w:i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 w:type="paragraph" w:styleId="TableHeading">
    <w:name w:val="Table Heading"/>
    <w:basedOn w:val="TableContents"/>
    <w:qFormat/>
    <w:pPr>
      <w:suppressLineNumbers/>
      <w:jc w:val="center"/>
    </w:pPr>
    <w:rPr>
      <w:b/>
      <w:bC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10%20%D0%B8%D1%8E%D0%BD%D1%8F%202024%20%D0%B3%D0%BE%D0%B4%D0%B0%20%E2%84%96%20425%D1%80" TargetMode="External"/><Relationship Id="rId6" Type="http://schemas.openxmlformats.org/officeDocument/2006/relationships/hyperlink" Target="documents/search/doc-link/?q=%D0%BE%D1%82%207%20%D0%B8%D1%8E%D0%BD%D1%8F%202023%20%D0%B3%D0%BE%D0%B4%D0%B0%20%E2%84%96%202241%20%C2%AB%D0%9E%D0%B1%20%D1%83%D1%82%D0%B2%D0%B5%D1%80%D0%B6%D0%B4%D0%B5%D0%BD%D0%B8%D0%B8%20%D0%9A%D0%BE%D0%BD%D1%86%D0%B5%D0%BF%D1%86%D0%B8%D0%B8%20%D0%B1%D1%8E%D0%B4%D0%B6%D0%B5%D1%82%D0%BD%D0%BE%D0%B9%20%D0%B8%20%D0%BD%D0%B0%D0%BB%D0%BE%D0%B3%D0%BE%D0%B2%D0%BE%D0%B9%20%D0%BF%D0%BE%D0%BB%D0%B8%D1%82%D0%B8%D0%BA%D0%B8%20%D0%9F%D1%80%D0%B8%D0%B4%D0%BD%D0%B5%D1%81%D1%82%D1%80%D0%BE%D0%B2%D1%81%D0%BA%D0%BE%D0%B9%20%D0%9C%D0%BE%D0%BB%D0%B4%D0%B0%D0%B2%D1%81%D0%BA%D0%BE%D0%B9%20%D0%A0%D0%B5%D1%81%D0%BF%D1%83%D0%B1%D0%BB%D0%B8%D0%BA%D0%B8%20%D0%BD%D0%B0%202024%20%D0%B3%D0%BE%D0%B4%20%D0%B8%20%D1%81%D1%80%D0%B5%D0%B4%D0%BD%D0%B5%D1%81%D1%80%D0%BE%D1%87%D0%BD%D1%83%D1%8E%20%D0%BF%D0%B5%D1%80%D1%81%D0%BF%D0%B5%D0%BA%D1%82%D0%B8%D0%B2%D1%83%C2%BB" TargetMode="External"/><Relationship Id="rId7" Type="http://schemas.openxmlformats.org/officeDocument/2006/relationships/hyperlink" Target="documents/search/doc-link/?q=%D0%BE%D1%82%2017%20%D0%B8%D1%8E%D0%BB%D1%8F%202024%20%D0%B3%D0%BE%D0%B4%D0%B0%20%E2%84%96%203290%20%0A%C2%AB%D0%9E%D0%B1%20%D1%83%D1%82%D0%B2%D0%B5%D1%80%D0%B6%D0%B4%D0%B5%D0%BD%D0%B8%D0%B8%20%D0%9F%D1%80%D0%BE%D0%B3%D0%BD%D0%BE%D0%B7%D0%B0%20%D1%81%D0%BE%D1%86%D0%B8%D0%B0%D0%BB%D1%8C%D0%BD%D0%BE-%D1%8D%D0%BA%D0%BE%D0%BD%D0%BE%D0%BC%D0%B8%D1%87%D0%B5%D1%81%D0%BA%D0%BE%D0%B3%D0%BE%20%20%D1%80%D0%B0%D0%B7%D0%B2%D0%B8%D1%82%D0%B8%D1%8F%20%D0%9F%D1%80%D0%B8%D0%B4%D0%BD%D0%B5%D1%81%D1%82%D1%80%D0%BE%D0%B2%D1%81%D0%BA%D0%BE%D0%B9%20%D0%9C%D0%BE%D0%BB%D0%B4%D0%B0%D0%B2%D1%81%D0%BA%D0%BE%D0%B9%20%D0%A0%D0%B5%D1%81%D0%BF%D1%83%D0%B1%D0%BB%D0%B8%D0%BA%D0%B8%20%D0%BD%D0%B0%202025%20%D0%B3%D0%BE%D0%B4%C2%BB" TargetMode="External"/><Relationship Id="rId8" Type="http://schemas.openxmlformats.org/officeDocument/2006/relationships/hyperlink" Target="documents/search/doc-link/?q=%D0%BE%D1%82%2012%20%D0%B4%D0%B5%D0%BA%D0%B0%D0%B1%D1%80%D1%8F%202018%20%D0%B3%D0%BE%D0%B4%D0%B0%20%E2%84%96%20460%20%28%D0%A1%D0%90%D0%97%2018-50%29"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2</Pages>
  <Words>4955</Words>
  <Characters>34104</Characters>
  <CharactersWithSpaces>38822</CharactersWithSpaces>
  <Paragraphs>424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