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473 «Об особенностях производства таможенных операций, связанных с прибытием, доставкой, временным хранением товаров и транспортных средств и сбором информации о лицах, осуществляющих внешнеэкономическую деятельность»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8082 от 29 декабря 2017 года) (САЗ 18-1)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главой 25-1 Таможенного кодекса Приднестровской Молдавской Республики, в целях упрощения и совершенствования таможенных операций, связанных с доставкой товаров, приказываю: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473 «Об особенностях производства таможенных операций, связанных с прибытием, доставкой, временным хранением товаров и транспортных средств и сбором информации о лицах, осуществляющих внешнеэкономическую деятельность»</w:t>
        </w:r>
      </w:hyperlink>
      <w:r>
        <w:rPr>
          <w:rFonts w:ascii="times new roman;times" w:hAnsi="times new roman;times"/>
          <w:sz w:val="24"/>
        </w:rPr>
        <w:t xml:space="preserve"> (регистрационный № 8082 от 29 декабря 2017 года) (САЗ 18-1)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2018 года      № 173</w:t>
        </w:r>
      </w:hyperlink>
      <w:r>
        <w:rPr>
          <w:rFonts w:ascii="times new roman;times" w:hAnsi="times new roman;times"/>
          <w:sz w:val="24"/>
        </w:rPr>
        <w:t xml:space="preserve"> (регистрационный № 8256 от 25 мая 2018 года) (САЗ 18-21),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       № 264</w:t>
        </w:r>
      </w:hyperlink>
      <w:r>
        <w:rPr>
          <w:rFonts w:ascii="times new roman;times" w:hAnsi="times new roman;times"/>
          <w:sz w:val="24"/>
        </w:rPr>
        <w:t xml:space="preserve"> (регистрационный № 8360 от 26 июля 2018 года) (САЗ 18-30),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2018 года № 403</w:t>
        </w:r>
      </w:hyperlink>
      <w:r>
        <w:rPr>
          <w:rFonts w:ascii="times new roman;times" w:hAnsi="times new roman;times"/>
          <w:sz w:val="24"/>
        </w:rPr>
        <w:t xml:space="preserve"> (регистрационный № 8412 от 30 августа 2018 года) (САЗ 18-35),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2018 года № 541</w:t>
        </w:r>
      </w:hyperlink>
      <w:r>
        <w:rPr>
          <w:rFonts w:ascii="times new roman;times" w:hAnsi="times new roman;times"/>
          <w:sz w:val="24"/>
        </w:rPr>
        <w:t xml:space="preserve"> (регистрационный № 8648 от 18 января 2019 года) (САЗ 19-2),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188</w:t>
        </w:r>
      </w:hyperlink>
      <w:r>
        <w:rPr>
          <w:rFonts w:ascii="times new roman;times" w:hAnsi="times new roman;times"/>
          <w:sz w:val="24"/>
        </w:rPr>
        <w:t xml:space="preserve"> (регистрационный № 8954 от 28 июня 2019 года) (САЗ 19-24),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2020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9380 от 3 марта 2020 года) (САЗ 20-10),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2020 года № 112</w:t>
        </w:r>
      </w:hyperlink>
      <w:r>
        <w:rPr>
          <w:rFonts w:ascii="times new roman;times" w:hAnsi="times new roman;times"/>
          <w:sz w:val="24"/>
        </w:rPr>
        <w:t xml:space="preserve"> (регистрационный № 9438 от 2 апреля 2020 года) (САЗ 20-14),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2020 года № 147</w:t>
        </w:r>
      </w:hyperlink>
      <w:r>
        <w:rPr>
          <w:rFonts w:ascii="times new roman;times" w:hAnsi="times new roman;times"/>
          <w:sz w:val="24"/>
        </w:rPr>
        <w:t xml:space="preserve"> (регистрационный № 9537 от 4 июня 2020 года) (САЗ 20-23),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2020 года № 192</w:t>
        </w:r>
      </w:hyperlink>
      <w:r>
        <w:rPr>
          <w:rFonts w:ascii="times new roman;times" w:hAnsi="times new roman;times"/>
          <w:sz w:val="24"/>
        </w:rPr>
        <w:t xml:space="preserve"> (регистрационный № 9669 от 26 августа 2020 года) (САЗ 20-35),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2020 года № 213</w:t>
        </w:r>
      </w:hyperlink>
      <w:r>
        <w:rPr>
          <w:rFonts w:ascii="times new roman;times" w:hAnsi="times new roman;times"/>
          <w:sz w:val="24"/>
        </w:rPr>
        <w:t xml:space="preserve"> (регистрационный № 9691 от 22 сентября 2020 года) (САЗ 20-39),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283</w:t>
        </w:r>
      </w:hyperlink>
      <w:r>
        <w:rPr>
          <w:rFonts w:ascii="times new roman;times" w:hAnsi="times new roman;times"/>
          <w:sz w:val="24"/>
        </w:rPr>
        <w:t xml:space="preserve"> (регистрационный № 9814 от 13 ноября 2020 года) (САЗ 20-46),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2020 года № 310</w:t>
        </w:r>
      </w:hyperlink>
      <w:r>
        <w:rPr>
          <w:rFonts w:ascii="times new roman;times" w:hAnsi="times new roman;times"/>
          <w:sz w:val="24"/>
        </w:rPr>
        <w:t xml:space="preserve"> (регистрационный № 9869 от 2 декабря 2020 года) (САЗ 20-49),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2021 года № 174</w:t>
        </w:r>
      </w:hyperlink>
      <w:r>
        <w:rPr>
          <w:rFonts w:ascii="times new roman;times" w:hAnsi="times new roman;times"/>
          <w:sz w:val="24"/>
        </w:rPr>
        <w:t xml:space="preserve"> (регистрационный № 10336 от 21 июня 2021 года) (САЗ 21-25),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251</w:t>
        </w:r>
      </w:hyperlink>
      <w:r>
        <w:rPr>
          <w:rFonts w:ascii="times new roman;times" w:hAnsi="times new roman;times"/>
          <w:sz w:val="24"/>
        </w:rPr>
        <w:t xml:space="preserve"> (регистрационный № 10484 от 26 августа 2021 года) (САЗ 21-34),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2021 года № 393</w:t>
        </w:r>
      </w:hyperlink>
      <w:r>
        <w:rPr>
          <w:rFonts w:ascii="times new roman;times" w:hAnsi="times new roman;times"/>
          <w:sz w:val="24"/>
        </w:rPr>
        <w:t xml:space="preserve"> (регистрационный № 10709 от 16 декабря 2021 года) (САЗ 21-50),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459</w:t>
        </w:r>
      </w:hyperlink>
      <w:r>
        <w:rPr>
          <w:rFonts w:ascii="times new roman;times" w:hAnsi="times new roman;times"/>
          <w:sz w:val="24"/>
        </w:rPr>
        <w:t xml:space="preserve"> (регистрационный № 10743 от 28 декабря 2021 года) (САЗ 21-52),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 года № 142</w:t>
        </w:r>
      </w:hyperlink>
      <w:r>
        <w:rPr>
          <w:rFonts w:ascii="times new roman;times" w:hAnsi="times new roman;times"/>
          <w:sz w:val="24"/>
        </w:rPr>
        <w:t xml:space="preserve"> (регистрационный № 11071 от 7 июня 2022 года) (САЗ 22-22),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60</w:t>
        </w:r>
      </w:hyperlink>
      <w:r>
        <w:rPr>
          <w:rFonts w:ascii="times new roman;times" w:hAnsi="times new roman;times"/>
          <w:sz w:val="24"/>
        </w:rPr>
        <w:t xml:space="preserve"> (регистрационный № 11644 от 3 апреля 2023 года) (САЗ 23-14),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227</w:t>
        </w:r>
      </w:hyperlink>
      <w:r>
        <w:rPr>
          <w:rFonts w:ascii="times new roman;times" w:hAnsi="times new roman;times"/>
          <w:sz w:val="24"/>
        </w:rPr>
        <w:t xml:space="preserve"> (регистрационный № 12002 от 2 октября 2023 года) (САЗ 23-40),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особенностях производства таможенных операций, связанных с прибытием, доставкой, временным хранением и убытием товаров и транспортных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Порядок совершения таможенных операций, связанных с убытием товаров с таможенной территории Приднестровской Молдавской Республики, согласно Приложению № 3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дополнить Приказ Приложением № 3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апреля 2024 года № 129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2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ноября 2017 года № 473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совершения таможенных операций, связанных с убытием товаров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таможенной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совершения таможенных операций, связанных с убытием товаров с таможенной территории Приднестровской Молдавской Республики (далее - Порядок) определяет порядок совершения таможенных операций таможенным органом, декларантом и перевозчиком при убытии товаров, помещенных под таможенные процедуры, предусматривающие их вывоз за пределы таможенной территории Приднестровской Молдавской Республики (далее – таможенная территория).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Декларант обязан доставить товары, помещенные под таможенные процедуры, предусматривающие их вывоз за пределы таможенной территории, транспортные средства, перемещающие товары, а также документы на них в место убытия с таможенной территории в сроки, установленные статьей 195–4 Таможенного кодекса Приднестровской Молдавской Республики (далее – ТК ПМР).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Транспортные средства с товарами, сведения о которых заявлены в одной таможенной декларации, подлежат единовременному представлению в зоне таможенного контроля места убытия.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     Допускается вывоз товаров с таможенной территории через таможенный пункт пропуска (место убытия), отличный от указанного в таможенной декларации, за исключением случаев, предусмотренных в соответствии с системой управления рисками.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   При убытии товаров с таможенной территории декларантом или перевозчиком таможенному органу Приднестровской Молдавской Республики (далее – таможенный орган) представляются документы и (или) сведения, перечень которых указан в статье 195-1 ТК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   После уведомления декларантом или перевозчиком о прибытии в зону таможенного контроля места убытия транспортных средств, перемещающих вывозимые товары, и получения от перевозчика документов и (или) сведений, перечисленных в пункте 5 настоящего Порядка, должностное лицо (сотрудник) таможенного органа (далее – должностное лицо) выполняет следующие таможенные операции: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  размещает транспортное средство в месте, определенном для нахождения транспортных средств, перемещающих товары, подлежащие таможенному контролю;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 проверяет наличие всех необходимых документов и сведений, указанных в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  идентифицирует таможенную декларацию в информационной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  проверяет наличие служебной отметки о выпуске товаров по таможенной декларации и соблюдение сроков убытия товаров, а в случае отсутствия отметки о выпуске товаров или нарушении сроков убытия – информирует декларанта или перевозчика о невозможности выезда;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визуально проверяет соответствие сведений, указанных в таможенной декларации, сведениям, указанным в документах, представленных перевозчиком при убытии;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   если в соответствии с системой управления рисками требуется применение дополнительных форм таможенного контроля – применяет формы таможенного контроля, предписанные профилем риска;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  при принятии положительного решения о возможности фактического вывоза товаров и транспортных средств за пределы таможенной территории заполняет документ информационной системы «Подтверждение убытия товара с таможенной территории».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совершении данной операции посредством информационной системы декларанту отсылается электронное сообщение;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случае необходимости (по просьбе перевозчика) распечатывает на бумажном носителе копию таможенной декларации, проставляет в графе «D» основного листа отметку «Товар вывезен» и заверяет основной лист печатной формы таможенной декларации подписью, оттиском личной номерной печати и проставляет дату вывоза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    возвращает перевозчику коммерческие, транспортные документы и копию таможенной декларации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случае непредставления перевозчиком необходимых документов и (или) сведений либо не соответствия сведений, указанных в таможенной декларации, в электронных документах (копиях документов) таможенной декларации сведениям, указанным в представленных декларантом или перевозчиком документах, или нарушения сроков убытия товаров, должностное лицо возвращает декларанту или перевозчику документы, поданные при сообщении об убытии, и сообщает о невозможности выезда.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в действиях декларанта или перевозчика признаков административных правонарушений в области таможенного дела (нарушений таможенных правил) транспортное средство с товарами подлежит размещению вне зоны таможенного пункта пропуска и не подлежит фактическому вывозу с таможенной территории до устранения причин невозможности выезда.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признаков административных правонарушений в области таможенного дела (нарушений таможенных правил) должностное лицо совершает действия в соответствии с законодательством Приднестровской Молдавской Республики об административных правонарушениях.»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7%20%D0%B3%D0%BE%D0%B4%D0%B0%20%E2%84%96%20473%20%C2%AB%D0%9E%D0%B1%20%D0%BE%D1%81%D0%BE%D0%B1%D0%B5%D0%BD%D0%BD%D0%BE%D1%81%D1%82%D1%8F%D1%85%20%D0%BF%D1%80%D0%BE%D0%B8%D0%B7%D0%B2%D0%BE%D0%B4%D1%81%D1%82%D0%B2%D0%B0%20%D1%82%D0%B0%D0%BC%D0%BE%D0%B6%D0%B5%D0%BD%D0%BD%D1%8B%D1%85%20%D0%BE%D0%BF%D0%B5%D1%80%D0%B0%D1%86%D0%B8%D0%B9%2C%20%D1%81%D0%B2%D1%8F%D0%B7%D0%B0%D0%BD%D0%BD%D1%8B%D1%85%20%D1%81%20%D0%BF%D1%80%D0%B8%D0%B1%D1%8B%D1%82%D0%B8%D0%B5%D0%BC%2C%20%D0%B4%D0%BE%D1%81%D1%82%D0%B0%D0%B2%D0%BA%D0%BE%D0%B9%2C%20%D0%B2%D1%80%D0%B5%D0%BC%D0%B5%D0%BD%D0%BD%D1%8B%D0%BC%20%D1%85%D1%80%D0%B0%D0%BD%D0%B5%D0%BD%D0%B8%D0%B5%D0%BC%20%D1%82%D0%BE%D0%B2%D0%B0%D1%80%D0%BE%D0%B2%20%D0%B8%20%D1%82%D1%80%D0%B0%D0%BD%D1%81%D0%BF%D0%BE%D1%80%D1%82%D0%BD%D1%8B%D1%85%20%D1%81%D1%80%D0%B5%D0%B4%D1%81%D1%82%D0%B2%20%D0%B8%20%D1%81%D0%B1%D0%BE%D1%80%D0%BE%D0%BC%20%D0%B8%D0%BD%D1%84%D0%BE%D1%80%D0%BC%D0%B0%D1%86%D0%B8%D0%B8%20%D0%BE%20%D0%BB%D0%B8%D1%86%D0%B0%D1%85%2C%20%D0%BE%D1%81%D1%83%D1%89%D0%B5%D1%81%D1%82%D0%B2%D0%BB%D1%8F%D1%8E%D1%89%D0%B8%D1%85%20%D0%B2%D0%BD%D0%B5%D1%88%D0%BD%D0%B5%D1%8D%D0%BA%D0%BE%D0%BD%D0%BE%D0%BC%D0%B8%D1%87%D0%B5%D1%81%D0%BA%D1%83%D1%8E%20%D0%B4%D0%B5%D1%8F%D1%82%D0%B5%D0%BB%D1%8C%D0%BD%D0%BE%D1%81%D1%82%D1%8C%C2%BB" TargetMode="External"/><Relationship Id="rId6" Type="http://schemas.openxmlformats.org/officeDocument/2006/relationships/hyperlink" Target="documents/search/doc-link/?q=%D0%BE%D1%82%2024%20%D0%B0%D0%BF%D1%80%D0%B5%D0%BB%D1%8F%202018%20%D0%B3%D0%BE%D0%B4%D0%B0%C2%A0%C2%A0%C2%A0%C2%A0%C2%A0%20%E2%84%96%20173" TargetMode="External"/><Relationship Id="rId7" Type="http://schemas.openxmlformats.org/officeDocument/2006/relationships/hyperlink" Target="documents/search/doc-link/?q=%D0%BE%D1%82%2025%20%D0%B8%D1%8E%D0%BD%D1%8F%202018%20%D0%B3%D0%BE%D0%B4%D0%B0%C2%A0%C2%A0%C2%A0%C2%A0%C2%A0%C2%A0%20%E2%84%96%20264" TargetMode="External"/><Relationship Id="rId8" Type="http://schemas.openxmlformats.org/officeDocument/2006/relationships/hyperlink" Target="documents/search/doc-link/?q=%D0%BE%D1%82%203%20%D0%B0%D0%B2%D0%B3%D1%83%D1%81%D1%82%D0%B0%202018%20%D0%B3%D0%BE%D0%B4%D0%B0%20%E2%84%96%20403" TargetMode="External"/><Relationship Id="rId9" Type="http://schemas.openxmlformats.org/officeDocument/2006/relationships/hyperlink" Target="documents/search/doc-link/?q=%D0%BE%D1%82%2029%20%D0%BD%D0%BE%D1%8F%D0%B1%D1%80%D1%8F%202018%20%D0%B3%D0%BE%D0%B4%D0%B0%20%E2%84%96%20541" TargetMode="External"/><Relationship Id="rId10" Type="http://schemas.openxmlformats.org/officeDocument/2006/relationships/hyperlink" Target="documents/search/doc-link/?q=%D0%BE%D1%82%2029%20%D0%BC%D0%B0%D1%8F%202019%20%D0%B3%D0%BE%D0%B4%D0%B0%20%E2%84%96%20188" TargetMode="External"/><Relationship Id="rId11" Type="http://schemas.openxmlformats.org/officeDocument/2006/relationships/hyperlink" Target="documents/search/doc-link/?q=%D0%BE%D1%82%2011%20%D1%8F%D0%BD%D0%B2%D0%B0%D1%80%D1%8F%202020%20%D0%B3%D0%BE%D0%B4%D0%B0%20%E2%84%96%203" TargetMode="External"/><Relationship Id="rId12" Type="http://schemas.openxmlformats.org/officeDocument/2006/relationships/hyperlink" Target="documents/search/doc-link/?q=%D0%BE%D1%82%2023%20%D0%BC%D0%B0%D1%80%D1%82%D0%B0%202020%20%D0%B3%D0%BE%D0%B4%D0%B0%20%E2%84%96%20112" TargetMode="External"/><Relationship Id="rId13" Type="http://schemas.openxmlformats.org/officeDocument/2006/relationships/hyperlink" Target="documents/search/doc-link/?q=%D0%BE%D1%82%2012%20%D0%BC%D0%B0%D1%8F%202020%20%D0%B3%D0%BE%D0%B4%D0%B0%20%E2%84%96%20147" TargetMode="External"/><Relationship Id="rId14" Type="http://schemas.openxmlformats.org/officeDocument/2006/relationships/hyperlink" Target="documents/search/doc-link/?q=%D0%BE%D1%82%2016%20%D0%B8%D1%8E%D0%BB%D1%8F%202020%20%D0%B3%D0%BE%D0%B4%D0%B0%20%E2%84%96%20192" TargetMode="External"/><Relationship Id="rId15" Type="http://schemas.openxmlformats.org/officeDocument/2006/relationships/hyperlink" Target="documents/search/doc-link/?q=%D0%BE%D1%82%2024%20%D0%B0%D0%B2%D0%B3%D1%83%D1%81%D1%82%D0%B0%202020%20%D0%B3%D0%BE%D0%B4%D0%B0%20%E2%84%96%20213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283" TargetMode="External"/><Relationship Id="rId17" Type="http://schemas.openxmlformats.org/officeDocument/2006/relationships/hyperlink" Target="documents/search/doc-link/?q=%D0%BE%D1%82%206%20%D0%BD%D0%BE%D1%8F%D0%B1%D1%80%D1%8F%202020%20%D0%B3%D0%BE%D0%B4%D0%B0%20%E2%84%96%20310" TargetMode="External"/><Relationship Id="rId18" Type="http://schemas.openxmlformats.org/officeDocument/2006/relationships/hyperlink" Target="documents/search/doc-link/?q=%D0%BE%D1%82%203%20%D0%B8%D1%8E%D0%BD%D1%8F%202021%20%D0%B3%D0%BE%D0%B4%D0%B0%20%E2%84%96%20174" TargetMode="External"/><Relationship Id="rId19" Type="http://schemas.openxmlformats.org/officeDocument/2006/relationships/hyperlink" Target="documents/search/doc-link/?q=%D0%BE%D1%82%2030%20%D0%B8%D1%8E%D0%BB%D1%8F%202021%20%D0%B3%D0%BE%D0%B4%D0%B0%20%E2%84%96%20251" TargetMode="External"/><Relationship Id="rId20" Type="http://schemas.openxmlformats.org/officeDocument/2006/relationships/hyperlink" Target="documents/search/doc-link/?q=%D0%BE%D1%82%209%20%D0%BD%D0%BE%D1%8F%D0%B1%D1%80%D1%8F%202021%20%D0%B3%D0%BE%D0%B4%D0%B0%20%E2%84%96%20393" TargetMode="External"/><Relationship Id="rId21" Type="http://schemas.openxmlformats.org/officeDocument/2006/relationships/hyperlink" Target="documents/search/doc-link/?q=%D0%BE%D1%82%2016%20%D0%B4%D0%B5%D0%BA%D0%B0%D0%B1%D1%80%D1%8F%202021%20%D0%B3%D0%BE%D0%B4%D0%B0%20%E2%84%96%20459" TargetMode="External"/><Relationship Id="rId22" Type="http://schemas.openxmlformats.org/officeDocument/2006/relationships/hyperlink" Target="documents/search/doc-link/?q=%D0%BE%D1%82%2012%20%D0%BC%D0%B0%D1%8F%202022%20%D0%B3%D0%BE%D0%B4%D0%B0%20%E2%84%96%20142" TargetMode="External"/><Relationship Id="rId23" Type="http://schemas.openxmlformats.org/officeDocument/2006/relationships/hyperlink" Target="documents/search/doc-link/?q=%D0%BE%D1%82%2015%20%D0%BC%D0%B0%D1%80%D1%82%D0%B0%202023%20%D0%B3%D0%BE%D0%B4%D0%B0%20%E2%84%96%2060" TargetMode="External"/><Relationship Id="rId24" Type="http://schemas.openxmlformats.org/officeDocument/2006/relationships/hyperlink" Target="documents/search/doc-link/?q=%D0%BE%D1%82%207%20%D1%81%D0%B5%D0%BD%D1%82%D1%8F%D0%B1%D1%80%D1%8F%202023%20%D0%B3%D0%BE%D0%B4%D0%B0%20%E2%84%96%20227" TargetMode="External"/><Relationship Id="rId25" Type="http://schemas.openxmlformats.org/officeDocument/2006/relationships/hyperlink" Target="documents/search/doc-link/?q=%D0%BE%D1%82%2016%20%D0%B0%D0%BF%D1%80%D0%B5%D0%BB%D1%8F%202024%20%D0%B3%D0%BE%D0%B4%D0%B0%20%E2%84%96%20129" TargetMode="External"/><Relationship Id="rId26" Type="http://schemas.openxmlformats.org/officeDocument/2006/relationships/hyperlink" Target="documents/search/doc-link/?q=%D0%BE%D1%82%2030%20%D0%BD%D0%BE%D1%8F%D0%B1%D1%80%D1%8F%202017%20%D0%B3%D0%BE%D0%B4%D0%B0%20%E2%84%96%2047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1209</Words>
  <Characters>7945</Characters>
  <CharactersWithSpaces>9215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