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июня 2014 года № 293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фармакопейной статьи ФС 2826-007-14 «Настойка боярышника» (САЗ 14-27)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Государственное учреждение «Центр по контролю за обращением медико-фармацевтической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2014 года № 293</w:t>
        </w:r>
      </w:hyperlink>
      <w:r>
        <w:rPr>
          <w:rFonts w:ascii="times new roman;times" w:hAnsi="times new roman;times"/>
          <w:sz w:val="24"/>
        </w:rPr>
        <w:t xml:space="preserve"> «Об утверждении фармакопейной статьи ФС 2826-007-14 «Настойка боярышника» (САЗ 14-27) с изменением, внесенным Приказом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2024 года № 314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2024000773, дата опубликования: 23 апреля 2024 года),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Приказа словесно-цифровое обозначение «ФС 2826-007-14 «Настойка боярышника» заменить словесно-цифровым обозначением «ФС 2826-007-14 «Боярышника плодов настойка»;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Приказа словесно-цифровое обозначение «ФС 2826-007-14 «Настойка боярышника» заменить словесно-цифровым обозначением «ФС 2826-007-14 «Боярышника плодов настойка»;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Приложение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488-ОД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июня 2024 года № 488-ОД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июня 2014 года № 293</w:t>
        </w:r>
      </w:hyperlink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«Утверждаю»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 2024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Фармакопейная статья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Crataegi fructi Tinctura                                                                                    ФС № 2826-007-14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Боярышника плодов настойка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введения установлен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Настоящая фармакопейная статья распространяется на Боярышника плодов настойку, применяемую в качестве лекарственного препарата.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Боярышника плодов измельченных (ГФ ПМР XIV изд., т. IV, ч. 2: ФС.2.5.0061.18) 100 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Этанола (спирта этилового) 70% (ФС 2826-005-14) достаточное количество для получения 1000 мл настойки.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ОПИСАНИЕ. Прозрачная жидкость от светло-желтого или светло-коричневого до красно-коричневого цвета с характерным запахом.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ПОДЛИННОСТЬ. К 5 мл препарата прибавляют 0,1 мл раствора железа хлорида окисного (III); появляется коричнево-зеленое окрашивание (дубильные вещества).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3 мл препарата добавляют 2 мл концентрированной соляной кислоты и нагревают на водяной бане в течение 5 (пяти) минут, появляется красное окрашивание (антоцианы и лейкоантоцианы).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СУХОЙ ОСТАТОК: не менее 1,0%. В соответствие с требованиями ОФС «Настойки».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СПИРТ ЭТИЛОВЫЙ: не менее 65%. В соответствие с требованиями ОФС «Определение спирта этилового в лекарственных средствах».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ТЯЖЕЛЫЕ МЕТАЛЛЫ: не более 0,001%. В соответствие с требованиями ОФС «Настойки».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ОБЪЕМ СОДЕРЖИМОГО УПАКОВКИ. Препарат должен соответствовать требованиям Приказа Министерства здравоохранения и социальной защиты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14</w:t>
        </w:r>
      </w:hyperlink>
      <w:r>
        <w:rPr>
          <w:rFonts w:ascii="times new roman;times" w:hAnsi="times new roman;times"/>
          <w:sz w:val="24"/>
        </w:rPr>
        <w:t xml:space="preserve"> «Об утверждении «Инструкции на допустимые отклонения при промышленном фасовании лекарственных средств» (САЗ 09-11).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МИКРОБИОЛОГИЧЕСКАЯ ЧИСТОТА: в соответствии с требованиями ОФС «Микробиологическая чистота».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УПАКОВКА. По 25, 30, 50 или 100 мл во флаконы оранжевого стекла или флаконы полимерные темного цвета. Флаконы оранжевого стекла укупориваются полиэтиленовыми пробками или пробками капельницами и навинчиваются пластмассовыми или полимерными крышками. Флаконы полимерные темного цвета навинчиваются полимерными пробками с или без контроля вскрытия или насадкой и колпачком, или пробкой капельницей и колпачком.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каждый флакон наклеивается этикетка, изготовленная из бумаги этикеточной, или писчей, или самоклеящейся.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Вторичная упаковка. По одному флакону вместе с инструкцией по медицинскому применению помещают в пачку картонную. Допускается укладка флаконов в групповую упаковку без индивидуальной упаковки с равным количеством инструкций по медицинскому применению.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Групповая упаковка: Флаконы вместе с инструкциями по медицинскому применению помещают в картонные коробки.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Групповая упаковка для транспортировки согласно ГОСТ 17768-90.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МАРКИРОВКА. Соответствует требованиям Приказа Министерства здравоохранения и социальной защиты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2008 года № 482</w:t>
        </w:r>
      </w:hyperlink>
      <w:r>
        <w:rPr>
          <w:rFonts w:ascii="times new roman;times" w:hAnsi="times new roman;times"/>
          <w:sz w:val="24"/>
        </w:rPr>
        <w:t xml:space="preserve"> «Об утверждении «Инструкции по графическому оформлению лекарственных средств, производимых на территории Приднестровской Молдавской Республики» (регистрационный № 4614 от 10 ноября 2008 года (САЗ 08-45), Приказа Министерства здравоохранения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фармацевтическими организациями» (САЗ 20-34)</w:t>
        </w:r>
      </w:hyperlink>
      <w:r>
        <w:rPr>
          <w:rFonts w:ascii="times new roman;times" w:hAnsi="times new roman;times"/>
          <w:sz w:val="24"/>
        </w:rPr>
        <w:t xml:space="preserve"> и ГФ ПМР XIV изд. т. I ч. 1: ОФС.1.0025.18. «Упаковка, маркировка и транспортирование лекарственных средств».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первичной (внутренней) упаковке лекарственного препарата указывается следующая информация: торговое наименование лекарственного препарата; лекарственная форма; количество лекарственного препарата в упаковке; наименование и адрес производителя лекарственного препарата, товарный знак; номер серии; дата истечения срока годности (годен до ...»), регистрационный номер.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вторичной упаковке, а при ее отсутствии – на первичной упаковке лекарственного препарата указывается следующая информация: торговое наименование лекарственного препарата; лекарственная форма, количество лекарственного препарата в упаковке, наименование и адрес производителя лекарственного препарата, товарный знак, номер серии, регистрационный номер, дата производства, дата истечения срока годности («годен до..), условия хранения, условия отпуска, предупредительные надписи «хранить в недоступном для детей месте».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групповой упаковке – торговое наименование лекарственного препарата, наименование и адрес производителя лекарственного препарата, количество лекарственного препарата в упаковке, и (или) количество упаковок в групповой упаковке, условия хранения и при необходимости условия транспортировки, номер серии, дата производства, дата истечения срока годности (годен до…»).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ХРАНЕНИЕ. Хранить в защищенном от света месте при температуре не выше 25 °С. Хранить в недоступном для детей месте.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ГОДНОСТИ. 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 Реактивы, титрованные растворы и индикаторы, приведенные в настоящей фармакопейной статье, описаны в соответствующих разделах Государственной фармакопеи Приднестровской Молдавской Республики ХIV издания.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8%D1%8E%D0%BD%D1%8F%202014%20%D0%B3%D0%BE%D0%B4%D0%B0%20%E2%84%96%20293" TargetMode="External"/><Relationship Id="rId6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16%20%D0%B0%D0%BF%D1%80%D0%B5%D0%BB%D1%8F%202024%20%D0%B3%D0%BE%D0%B4%D0%B0%20%E2%84%96%20314" TargetMode="External"/><Relationship Id="rId31" Type="http://schemas.openxmlformats.org/officeDocument/2006/relationships/hyperlink" Target="documents/search/doc-link/?q=%D0%BE%D1%82%2024%20%D0%B8%D1%8E%D0%BD%D1%8F%202024%20%D0%B3%D0%BE%D0%B4%D0%B0%20%E2%84%96%20488-%D0%9E%D0%94" TargetMode="External"/><Relationship Id="rId32" Type="http://schemas.openxmlformats.org/officeDocument/2006/relationships/hyperlink" Target="documents/search/doc-link/?q=%D0%BE%D1%82%2014%20%D1%8F%D0%BD%D0%B2%D0%B0%D1%80%D1%8F%202009%20%D0%B3%D0%BE%D0%B4%D0%B0%20%E2%84%96%2014" TargetMode="External"/><Relationship Id="rId33" Type="http://schemas.openxmlformats.org/officeDocument/2006/relationships/hyperlink" Target="documents/search/doc-link/?q=%D0%BE%D1%82%2030%20%D1%81%D0%B5%D0%BD%D1%82%D1%8F%D0%B1%D1%80%D1%8F%202008%20%D0%B3%D0%BE%D0%B4%D0%B0%20%E2%84%96%20482" TargetMode="External"/><Relationship Id="rId34" Type="http://schemas.openxmlformats.org/officeDocument/2006/relationships/hyperlink" Target="documents/search/doc-link/?q=%D0%BE%D1%82%2022%20%D0%B8%D1%8E%D0%BB%D1%8F%202020%20%D0%B3%D0%BE%D0%B4%D0%B0%20%E2%84%96%20654%20%C2%AB%D0%9E%D0%B1%20%D1%83%D1%82%D0%B2%D0%B5%D1%80%D0%B6%D0%B4%D0%B5%D0%BD%D0%B8%D0%B8%20%D0%A2%D1%80%D0%B5%D0%B1%D0%BE%D0%B2%D0%B0%D0%BD%D0%B8%D0%B9%20%D0%BA%20%D0%BC%D0%B0%D1%80%D0%BA%D0%B8%D1%80%D0%BE%D0%B2%D0%BA%D0%B5%20%D0%B8%20%D0%BE%D1%84%D0%BE%D1%80%D0%BC%D0%BB%D0%B5%D0%BD%D0%B8%D1%8E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2C%20%D0%BF%D1%80%D0%BE%D0%B8%D0%B7%D0%B2%D0%BE%D0%B4%D0%B8%D0%BC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1%84%D0%B0%D1%80%D0%BC%D0%B0%D1%86%D0%B5%D0%B2%D1%82%D0%B8%D1%87%D0%B5%D1%81%D0%BA%D0%B8%D0%BC%D0%B8%20%D0%BE%D1%80%D0%B3%D0%B0%D0%BD%D0%B8%D0%B7%D0%B0%D1%86%D0%B8%D1%8F%D0%BC%D0%B8%C2%BB%20%28%D0%A1%D0%90%D0%97%2020-3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1086</Words>
  <Characters>7310</Characters>
  <CharactersWithSpaces>8505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