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августа 2023 года № 252 «Об утверждении Правил оценки соответствия объектов защиты установленным законодательством Приднестровской Молдавской Республики требованиям пожарной безопасности»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11968 от 6 сентября 2023 года) (САЗ 23-36)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25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12352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Гражданским Кодексом Приднестровской Молдавской Республики, Законом Приднестровской Молдавской Республики от 18 июля 1995 года «О милиции» (СЗМР 95-3),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2003 года № 339-З-III «О пожарной безопасности в Приднестровской Молдавской Республике» (САЗ 03-41)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внутренних дел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 285 «Об утверждении Правил пожарной безопасности в Приднестровской Молдавской Республике» (САЗ 21-43)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Приказом Министерства внутренних дел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№ 228 (САЗ 23-31)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2024000438, дата опубликования: 6 марта 2024 года),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августа 2023 года № 252 «Об утверждении Правил оценки соответствия объектов защиты установленным законодательством Приднестровской Молдавской Республики требованиям пожарной безопасности»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11968 от 6 сентября 2023 года) (САЗ 23-36) с изменениями, внесенными Приказом Министерства внутренних дел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 26</w:t>
        </w:r>
      </w:hyperlink>
      <w:r>
        <w:rPr>
          <w:rFonts w:ascii="times new roman;times" w:hAnsi="times new roman;times"/>
          <w:sz w:val="24"/>
        </w:rPr>
        <w:t xml:space="preserve"> (регистрационный № 12239 от 23 января 2024 года) (САЗ 24-5),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«Оценка производится в целях: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подтверждения соответствия (несоответствия) объекта защиты установленным законодательством Приднестровской Молдавской Республики требованиям пожарной безопасности;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подтверждения возможности (невозможности) перевода жилого дома (жилого помещения) в нежилой дом (нежилое помещение) либо нежилого дома (нежилого помещения) в жилой дом (жилое помещение) с учетом установленных законодательством Приднестровской Молдавской Республики требований пожарной безопасности.»;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г) части первой пункта 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сведения об объекте с указанием вида деятельности и адреса осуществления деятельности; для транспортного средства, осуществляющего транспортировку пожароопасных веществ (тип, марка, модель, государственный регистрационный знак, класс, номер Организации Объединенных Наций, наименование и описание груза, подлежащего транспортировке) – для целей оценки, предусмотренной подпунктом а) части второй пункта 1 настоящих Правил;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оценки, предусмотренной подпунктом б) части второй пункта 1 настоящих Правил - сведения о жилом доме (жилом помещении), нежилом доме (нежилом помещении), подлежащего переводу (сведения о праве собственности на него, адрес нахождения, цель последующего использования);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часть вторую пункта 3 Приложения к Приказу дополнить подпунктами з)-и)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«з) характеристика переводимого жилого дома (жилого помещения) в нежилой дом (нежилое помещение) по форме, утвержденной Приложением № 2 к Приложению к Приказу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2016 года № 381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 порядке перевода жилых домов и жилых помещений в нежилые» (регистрационный № 7612 от 14 октября 2016 года) (САЗ 16-41) или характеристика переводимого нежилого дома (нежилого помещения) в жилой дом (жилое помещение) по форме, утвержденной Приложением № 2 к Приложению к Приказу Министерства экономического развития Приднестровской Молдавской Республики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 года № 798 «Об утверждении Положения о порядке перевода нежилых помещений и (или) нежилых домов в жилые»</w:t>
        </w:r>
      </w:hyperlink>
      <w:r>
        <w:rPr>
          <w:rFonts w:ascii="times new roman;times" w:hAnsi="times new roman;times"/>
          <w:sz w:val="24"/>
        </w:rPr>
        <w:t xml:space="preserve"> (регистрационный № 11268 от 15 сентября 2022 года) (САЗ 22-36) – для цели оценки, предусмотренной, подпунктом б) части второй пункта 1 настоящих Правил;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копия технического паспорта переводимого жилого дома (жилого помещения), нежилого дома (нежилого помещения) - для цели оценки, предусмотренной, подпунктом б) части второй пункта 1 настоящих Правил.»;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подпункты б)-в)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обследование (проверка противопожарного состояния) объекта для получения объективной информации о состоянии пожарной безопасности объекта, в том числе о возможности  (невозможности) перевода жилого дома (жилого помещения) в нежилой дом (нежилое помещение) либо нежилого дома (нежилого помещения) в жилой дом (жилое помещение) с учетом установленных законодательством Приднестровской Молдавской Республики требований пожарной безопасности, а также для определения наличия условий соответствия объекта требованиям пожарной безопасностии анализ документов, характеризующих пожарную безопасность объекта;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подготовку заключения, содержащего выводы о соответствии (несоответствии) объекта требованиям пожарной безопасности или о возможности (невозможности) перевода жилого дома (жилого помещения) в нежилой дом (нежилое помещение) либо нежилого дома (нежилого помещения) в жилой дом (жилое помещение) с учетом установленных законодательством Приднестровской Молдавской Республики требований пожарной безопасности.»;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Результаты проведения оценки для цели, предусмотренной подпунктом а) части второй пункта 1 настоящих Правил, оформляются в виде заключения о соответствии объекта требованиям пожарной безопасности (приложения № 1, № 2 к настоящим Правилам), в котором отражаются выводы о соответствии или несоответствии объекта требованиям пожарной безопасности; результаты проведения оценки для цели, предусмотренной подпунктом б) части второй пункта 1 настоящих Правил, оформляются в виде заключения (Приложение № 3 к настоящим Правилам), в котором отражаются выводы о возможности (невозможности) перевода жилого дома (жилого помещения) в нежилой дом (нежилое помещение) либо нежилого дома (нежилого помещения) в жилой дом (жилое помещение) с учетом установленных законодательством Приднестровской Молдавской Республики требований пожарной безопасности (далее – Заключение).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 подписывается руководителем организации и скрепляется печатью, затем направляется по почте заявителю на адрес, указанный в заявлении, или вручается лично заявителю. О необходимости явки (дате, времени) за получением Заключения заявитель уведомляется письменно по почте или по телефону. Копия Заключения, выданного в результате проведения оценки для цели, предусмотренной подпунктом а) части второй пункта 1 настоящих Правил, в течение 3 (трех) рабочих дней направляется в орган пожарного надзора для учета в контрольно-наблюдательном деле на объект защиты.»;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к Приказу дополнить Приложением № 3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111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6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марта 2024 года № 111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Правилам оценки соответствия объектов защиты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0"/>
        </w:rPr>
        <w:t>установленным законодательством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требованиям пожарной безопасности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организации, юридический адрес, номер телефона)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 №____________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 «____»____________ 20___года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присутствии 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произведен осмотр жилого помещения (жилого дома) / нежилого помещения (нежилого дома) (нужное подчеркнуть), расположенного по адресу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_____________________________________________________________________________, принадлежащего на праве собственности на основании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предмет возможности перевода его в нежилое/жилое (нужное подчеркнуть) и последующего использования под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(цель последующего использования)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результатам осмотра жилого помещения (жилого дома)/нежилого помещения (нежилого дома) подтверждаю__________________________ перевода жилого помещения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(возможность/невозможность)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(жилого дома)/нежилого помещения (нежилого дома) (нужное подчеркнуть) в нежилое/ жилое (нужное подчеркнуть) с учетом установленных законодательством Приднестровской Молдавской Республики требований пожарной безопасности, расположенного по адресу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Заключение действительно до «___»_____________20___года.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заключение выдано:____________________________________________________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имя, отчество (при наличии) физического лица, наименование юридического лица (индивидуального предпринимателя))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заявления _______________________________________.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(регистрационный номер и дата регистрации)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 ____________________________  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 </w:t>
      </w:r>
      <w:r>
        <w:rPr>
          <w:rFonts w:ascii="times new roman;times" w:hAnsi="times new roman;times"/>
          <w:sz w:val="24"/>
        </w:rPr>
        <w:t>(должность руководителя)                             (подпись) М.П.                     (фамилия, инициалы)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0%D0%B2%D0%B3%D1%83%D1%81%D1%82%D0%B0%202023%20%D0%B3%D0%BE%D0%B4%D0%B0%20%E2%84%96%C2%A0252%20%C2%AB%D0%9E%D0%B1%20%D1%83%D1%82%D0%B2%D0%B5%D1%80%D0%B6%D0%B4%D0%B5%D0%BD%D0%B8%D0%B8%20%D0%9F%D1%80%D0%B0%D0%B2%D0%B8%D0%BB%20%D0%BE%D1%86%D0%B5%D0%BD%D0%BA%D0%B8%20%D1%81%D0%BE%D0%BE%D1%82%D0%B2%D0%B5%D1%82%D1%81%D1%82%D0%B2%D0%B8%D1%8F%20%D0%BE%D0%B1%D1%8A%D0%B5%D0%BA%D1%82%D0%BE%D0%B2%20%D0%B7%D0%B0%D1%89%D0%B8%D1%82%D1%8B%20%D1%83%D1%81%D1%82%D0%B0%D0%BD%D0%BE%D0%B2%D0%BB%D0%B5%D0%BD%D0%BD%D1%8B%D0%BC%20%D0%B7%D0%B0%D0%BA%D0%BE%D0%BD%D0%BE%D0%B4%D0%B0%D1%82%D0%B5%D0%BB%D1%8C%D1%81%D1%82%D0%B2%D0%BE%D0%BC%20%D0%9F%D1%80%D0%B8%D0%B4%D0%BD%D0%B5%D1%81%D1%82%D1%80%D0%BE%D0%B2%D1%81%D0%BA%D0%BE%D0%B9%20%D0%9C%D0%BE%D0%BB%D0%B4%D0%B0%D0%B2%D1%81%D0%BA%D0%BE%D0%B9%20%D0%A0%D0%B5%D1%81%D0%BF%D1%83%D0%B1%D0%BB%D0%B8%D0%BA%D0%B8%20%D1%82%D1%80%D0%B5%D0%B1%D0%BE%D0%B2%D0%B0%D0%BD%D0%B8%D1%8F%D0%BC%20%D0%BF%D0%BE%D0%B6%D0%B0%D1%80%D0%BD%D0%BE%D0%B9%20%D0%B1%D0%B5%D0%B7%D0%BE%D0%BF%D0%B0%D1%81%D0%BD%D0%BE%D1%81%D1%82%D0%B8%C2%BB" TargetMode="External"/><Relationship Id="rId6" Type="http://schemas.openxmlformats.org/officeDocument/2006/relationships/hyperlink" Target="documents/search/doc-link/?q=%D0%BE%D1%82%209%20%D0%BE%D0%BA%D1%82%D1%8F%D0%B1%D1%80%D1%8F%202003%20%D0%B3%D0%BE%D0%B4%D0%B0%20%E2%84%96%C2%A0339-%D0%97-III%20%C2%AB%D0%9E%20%D0%BF%D0%BE%D0%B6%D0%B0%D1%80%D0%BD%D0%BE%D0%B9%20%D0%B1%D0%B5%D0%B7%D0%BE%D0%BF%D0%B0%D1%81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3-41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13%20%D1%81%D0%B5%D0%BD%D1%82%D1%8F%D0%B1%D1%80%D1%8F%202021%20%D0%B3%D0%BE%D0%B4%D0%B0%20%E2%84%96%C2%A0285%20%C2%AB%D0%9E%D0%B1%20%D1%83%D1%82%D0%B2%D0%B5%D1%80%D0%B6%D0%B4%D0%B5%D0%BD%D0%B8%D0%B8%20%D0%9F%D1%80%D0%B0%D0%B2%D0%B8%D0%BB%20%D0%BF%D0%BE%D0%B6%D0%B0%D1%80%D0%BD%D0%BE%D0%B9%20%D0%B1%D0%B5%D0%B7%D0%BE%D0%BF%D0%B0%D1%81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21-43%29" TargetMode="External"/><Relationship Id="rId31" Type="http://schemas.openxmlformats.org/officeDocument/2006/relationships/hyperlink" Target="documents/search/doc-link/?q=%D0%BE%D1%82%2020%20%D0%B8%D1%8E%D0%BB%D1%8F%202023%20%D0%B3%D0%BE%D0%B4%D0%B0%20%E2%84%96%C2%A0228%20%28%D0%A1%D0%90%D0%97%2023-31%29" TargetMode="External"/><Relationship Id="rId32" Type="http://schemas.openxmlformats.org/officeDocument/2006/relationships/hyperlink" Target="documents/search/doc-link/?q=%D0%BE%D1%82%2029%20%D1%84%D0%B5%D0%B2%D1%80%D0%B0%D0%BB%D1%8F%202024%20%D0%B3%D0%BE%D0%B4%D0%B0%20%E2%84%96%2090" TargetMode="External"/><Relationship Id="rId33" Type="http://schemas.openxmlformats.org/officeDocument/2006/relationships/hyperlink" Target="documents/search/doc-link/?q=%D0%BE%D1%82%2018%20%D1%8F%D0%BD%D0%B2%D0%B0%D1%80%D1%8F%202024%20%D0%B3%D0%BE%D0%B4%D0%B0%20%E2%84%96%C2%A026" TargetMode="External"/><Relationship Id="rId34" Type="http://schemas.openxmlformats.org/officeDocument/2006/relationships/hyperlink" Target="documents/search/doc-link/?q=%D0%BE%D1%82%2016%20%D0%BC%D0%B0%D1%8F%202016%20%D0%B3%D0%BE%D0%B4%D0%B0%20%E2%84%96%C2%A0381" TargetMode="External"/><Relationship Id="rId35" Type="http://schemas.openxmlformats.org/officeDocument/2006/relationships/hyperlink" Target="documents/search/doc-link/?q=%D0%BE%D1%82%2026%20%D0%B8%D1%8E%D0%BB%D1%8F%202022%20%D0%B3%D0%BE%D0%B4%D0%B0%20%E2%84%96%C2%A0798%20%C2%AB%D0%9E%D0%B1%20%D1%83%D1%82%D0%B2%D0%B5%D1%80%D0%B6%D0%B4%D0%B5%D0%BD%D0%B8%D0%B8%20%D0%9F%D0%BE%D0%BB%D0%BE%D0%B6%D0%B5%D0%BD%D0%B8%D1%8F%20%D0%BE%20%D0%BF%D0%BE%D1%80%D1%8F%D0%B4%D0%BA%D0%B5%20%D0%BF%D0%B5%D1%80%D0%B5%D0%B2%D0%BE%D0%B4%D0%B0%20%D0%BD%D0%B5%D0%B6%D0%B8%D0%BB%D1%8B%D1%85%20%D0%BF%D0%BE%D0%BC%D0%B5%D1%89%D0%B5%D0%BD%D0%B8%D0%B9%20%D0%B8%20%28%D0%B8%D0%BB%D0%B8%29%20%D0%BD%D0%B5%D0%B6%D0%B8%D0%BB%D1%8B%D1%85%20%D0%B4%D0%BE%D0%BC%D0%BE%D0%B2%20%D0%B2%20%D0%B6%D0%B8%D0%BB%D1%8B%D0%B5%C2%BB" TargetMode="External"/><Relationship Id="rId36" Type="http://schemas.openxmlformats.org/officeDocument/2006/relationships/hyperlink" Target="documents/search/doc-link/?q=%D0%BE%D1%82%2015%20%D0%BC%D0%B0%D1%80%D1%82%D0%B0%202024%20%D0%B3%D0%BE%D0%B4%D0%B0%20%E2%84%96%C2%A011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1355</Words>
  <Characters>9647</Characters>
  <CharactersWithSpaces>11173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