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марта 2015 года № 165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фармакопейной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статьи ФС 2826-014-15 «Меновазин» (САЗ 15-14)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учреждение 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2015 года № 165</w:t>
        </w:r>
      </w:hyperlink>
      <w:r>
        <w:rPr>
          <w:rFonts w:ascii="times new roman;times" w:hAnsi="times new roman;times"/>
          <w:sz w:val="24"/>
        </w:rPr>
        <w:t xml:space="preserve"> «Об утверждении фармакопейной статьи ФС 2826-014-15 «Меновазин» (САЗ 15-14) с изменениями, внесенными Приказом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2022 года № 327 (САЗ 22-14)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наименовании Приказа словесно-цифровое обозначение «ФС 2826-014-15 «Меновазин» заменить словесно-цифровым обозначением «ФС 2826-014-15 «Меновазин, раствор для наружного применения спиртовой»;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 Приказа словесно-цифровое обозначение «ФС 2826-014-15 «Меновазин» заменить словесно-цифровым обозначением «ФС 2826-014-15 «Меновазин, раствор для наружного применения спиртовой»;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2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486-ОД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июня 2024 года № 486-ОД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марта 2015 года № 165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4"/>
        </w:rPr>
        <w:t>«Утверждаю»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 2024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Фармакопейная статья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ФС № 2826-014-15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Menovasinum, solutio spirituosa ad usum externum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Меновазин, раствор для наружного применения спиртовой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введения установлен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___________2024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Настоящая фармакопейная статья распространяется на Меновазин, раствор для наружного применения спиртовой, применяемый в качестве лекарственного средства.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Состав: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Рацементола (ГФ ПМР XIV изд., т. III, ч. 3: ФС.2.1.0026.15) 25 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Прокаина гидрохлорида (ГФ ПМР XIV изд., т. III, ч. 3: ФС.2.1.0166.18) 10 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Анестезина (ГФ ПМР X, ст. 55) 10 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Этанола (спирта этилового 70%) (ФС 2826-005-14) достаточное количество для достижения 1000 мл раствора.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ОПИСАНИЕ. Бесцветная прозрачная жидкость, с запахом ментола.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ПОДЛИННОСТЬ.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Качественная реакция на рацементол.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1 мл препарата прибавляют 1 мл ванилина в серной кислоте, появляется малиново-красное окрашивание.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Качественная реакция на прокаин.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мл препарата выпаривают досуха на водяной бане. Сухой остаток растворяют в 5 мл воды очищенной и фильтруют через бумажный фильтр. Фильтрат дает характерную реакцию на ароматические амины и на хлориды (ОФС «Общие реакции на подлинность»).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Качественная реакция на анестезин.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Остаток с фильтра растворяют в 2 мл спирта этилового 96%. К полученному спиртовому раствору прибавляют 0,3 мл разведенной кислоты серной, 2 мл раствора хлорамина. Через 3 (три) минуты прибавляют 2 мл диэтилового эфира и взбалтывают. Эфирный слой окрашивается в оранжевый цвет.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ПЛОТНОСТЬ: не менее 0,885 г/см</w:t>
      </w:r>
      <w:r>
        <w:rPr>
          <w:rFonts w:ascii="times new roman;times" w:hAnsi="times new roman;times"/>
          <w:position w:val="8"/>
          <w:sz w:val="19"/>
          <w:sz w:val="24"/>
        </w:rPr>
        <w:t>3</w:t>
      </w:r>
      <w:r>
        <w:rPr>
          <w:rFonts w:ascii="times new roman;times" w:hAnsi="times new roman;times"/>
          <w:sz w:val="24"/>
        </w:rPr>
        <w:t xml:space="preserve"> и не более 0,895 г/см</w:t>
      </w:r>
      <w:r>
        <w:rPr>
          <w:rFonts w:ascii="times new roman;times" w:hAnsi="times new roman;times"/>
          <w:position w:val="8"/>
          <w:sz w:val="19"/>
          <w:sz w:val="24"/>
        </w:rPr>
        <w:t>3</w:t>
      </w:r>
      <w:r>
        <w:rPr>
          <w:rFonts w:ascii="times new roman;times" w:hAnsi="times new roman;times"/>
          <w:sz w:val="24"/>
        </w:rPr>
        <w:t xml:space="preserve"> (ОФС «Плотность»).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КОЛИЧЕСТВЕННОЕ ОПРЕДЕЛЕНИЕ: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Рацементол.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мл препарата помещают в мерную колбу вместимостью 50 мл, доводят объем раствора 95% спиртом этиловым до метки. 5 мл полученного раствора переносят в мерную колбу вместимостью 100 мл, прибавляют 20 мл 95% спирта этилового и доводят объем раствора водой очищенной до метки.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две пробирки помещают по 3 мл 1% раствора п-диметиламинобензальдегида в концентрированной серной кислоте. Затем осторожно по стенке пробирки прибавляют в одну пробирку 2 мл испытуемого раствора, в другую пробирку 2 мл стандартного образца рацементола и тщательно перемешивают. Через 20 (двадцать) минут измеряют оптическую плотность обоих растворов на спектрофотометре при длине волны около 545 нм в кювете с толщиной слоя 10 мм. Раствором сравнения служит смесь из 3 мл реактива и 2 мл воды.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Содержание рацементола в препарате в процентах (Х) вычисляют по формуле: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 </w:t>
      </w:r>
      <w:r>
        <w:rPr>
          <w:rFonts w:ascii="times new roman;times" w:hAnsi="times new roman;times"/>
          <w:sz w:val="24"/>
        </w:rPr>
        <w:t>D1 х А х 50 х 100 х 100          D1х2,5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 = ----------------------------------- = -----------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 </w:t>
      </w:r>
      <w:r>
        <w:rPr>
          <w:rFonts w:ascii="times new roman;times" w:hAnsi="times new roman;times"/>
          <w:sz w:val="24"/>
        </w:rPr>
        <w:t>Do x 1 x 5                                 Do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D1 – оптическая плотность испытуемого раствора;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Do – оптическая плотность раствора стандартного образца;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 – количество рацементола в граммах в 1 мл раствора стандартного образца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Содержание С</w:t>
      </w:r>
      <w:r>
        <w:rPr>
          <w:rFonts w:ascii="times new roman;times" w:hAnsi="times new roman;times"/>
          <w:position w:val="-2"/>
          <w:sz w:val="19"/>
          <w:sz w:val="24"/>
        </w:rPr>
        <w:t>10</w:t>
      </w:r>
      <w:r>
        <w:rPr>
          <w:rFonts w:ascii="times new roman;times" w:hAnsi="times new roman;times"/>
          <w:sz w:val="24"/>
        </w:rPr>
        <w:t>Н</w:t>
      </w:r>
      <w:r>
        <w:rPr>
          <w:rFonts w:ascii="times new roman;times" w:hAnsi="times new roman;times"/>
          <w:position w:val="-2"/>
          <w:sz w:val="19"/>
          <w:sz w:val="24"/>
        </w:rPr>
        <w:t>20</w:t>
      </w:r>
      <w:r>
        <w:rPr>
          <w:rFonts w:ascii="times new roman;times" w:hAnsi="times new roman;times"/>
          <w:sz w:val="24"/>
        </w:rPr>
        <w:t>О (рацементола) в препарате должно быть от 2,25 % до 2,75 %.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Приготовление раствора рацементола стандартного образца.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0,05 г (точная навеска) рацементола (ГФ ПМР XIV изд., т. III, ч. 3: ФС.2.1.0026.15) растворяют в этиловом спирте 95% в мерной колбе вместимостью 100 мл и доводят объем раствора тем же спиртом до метки. Раствор стабилен в течение 1 (одного)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мл полученного раствора переносят в мерную колбу вместимостью 100 мл, прибавляют 20 мл этилового спирта 95% и доводят объем раствора до метки водой очищенной. Раствор стабилен 6 (шесть) месяцев.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Приготовление 1 % раствора п-диметиламинобензальдегида.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0,1 г п-диметиламинобензальдегида растворяют в 10 мл кислоты серной концентрированной. Раствор используют свежеприготовленным.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Прокаина гидрохлорид 2,5 мл препарата вносят в мерную колбу вместимостью 100 мл и доводят объем раствора до метки водой очищенной.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мл полученного раствора переносят в делительную воронку, прибавляют 10 мл буферного раствора с рН 7,5, 1 мл бромтимолового синего, 10 мл хлороформа и взбалтывают в течение 2 (двух) минут. Хлороформный слой фильтруют через бумажный фильтр с 2,0 г натрия сульфата безводного смоченного хлороформом в мерную колбу вместимостью 50 мл. Экстракция хлороформом проводится еще 2 (два) раза по 10 мл. Хлороформные извлечения собирают в ту же колбу. Затем в колбу прибавляют 10 мл раствора кислоты борной и доводят объем раствора до метки спиртом этиловым 95%. Оптическую плотность испытуемого раствора и раствора стандартного образца прокаина гидрохлорида измеряют на спектрофотометре при длине волны около 425 нм в кювете с толщиной слоя 10 мм, применяя в качестве раствора сравнения хлороформ.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Содержание прокаина гидрохлорида в препарате в процентах (Х) вычисляют по формуле: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D1 х 0,000005 х 100 х 50 х 100        D1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 = ----------------------------------------- = ----------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 </w:t>
      </w:r>
      <w:r>
        <w:rPr>
          <w:rFonts w:ascii="times new roman;times" w:hAnsi="times new roman;times"/>
          <w:sz w:val="24"/>
        </w:rPr>
        <w:t>Do x 2,5 x 1                           Do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где: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D1 – оптическая плотность испытуемого раствора;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Do – оптическая плотность раствора стандартного образца прокаина гидрохлорида.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Содержание С</w:t>
      </w:r>
      <w:r>
        <w:rPr>
          <w:rFonts w:ascii="times new roman;times" w:hAnsi="times new roman;times"/>
          <w:position w:val="-2"/>
          <w:sz w:val="19"/>
          <w:sz w:val="24"/>
        </w:rPr>
        <w:t>13</w:t>
      </w:r>
      <w:r>
        <w:rPr>
          <w:rFonts w:ascii="times new roman;times" w:hAnsi="times new roman;times"/>
          <w:sz w:val="24"/>
        </w:rPr>
        <w:t>Н</w:t>
      </w:r>
      <w:r>
        <w:rPr>
          <w:rFonts w:ascii="times new roman;times" w:hAnsi="times new roman;times"/>
          <w:position w:val="-2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>0N</w:t>
      </w:r>
      <w:r>
        <w:rPr>
          <w:rFonts w:ascii="times new roman;times" w:hAnsi="times new roman;times"/>
          <w:position w:val="-2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>O</w:t>
      </w:r>
      <w:r>
        <w:rPr>
          <w:rFonts w:ascii="times new roman;times" w:hAnsi="times new roman;times"/>
          <w:position w:val="-2"/>
          <w:sz w:val="19"/>
          <w:sz w:val="24"/>
        </w:rPr>
        <w:t xml:space="preserve">2 </w:t>
      </w:r>
      <w:r>
        <w:rPr>
          <w:rFonts w:ascii="times new roman;times" w:hAnsi="times new roman;times"/>
          <w:sz w:val="24"/>
        </w:rPr>
        <w:t>x HCL (прокаина гидрохлорид) в препарате должно быть от 0,95% до 1,05%.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Приготовление раствора стандартного образца прокаина гидрохлорида.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0,025 г (точная навеска) прокаина гидрохлорид (ГФ ПМР XIV изд., т. III, ч. 3: ФС.2.1.0166.18) растворяют в 2,5 мл спирта этилового 70% и объем раствора доводят до метки водой очищенной в мерной колбе вместимостью 100 мл.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мл полученного раствора переносят в делительную воронку и далее обрабатывают также, как и испытуемый раствор, начиная со слов «...добавляют 10 мл буферного раствора...».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Приготовление раствора бромтимолового синего.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0,15 г бромтимолового синего и 0,15 г натрия карбоната безводного растворяют в воде очищенной в мерной колбе вместимостью 100 мл при нагревании на водяной бане. После охлаждения объем раствора доводят до метки водой очищенной. Раствор стабилен в течении 6 (шести) месяцев.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Приготовление раствора кислоты борной.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0,5 г кислоты борной (ГФ ПМР XIV изд., т. III, ч. 1: ФС.2.2.0002.15) растворяют при нагревании в смеси из 25 мл спирта этилового 95% и 20 мл воды очищенной в мерной колбе вместимостью 250 мл. После охлаждения объем раствора доводят до метки спиртом этиловым 95 % и перемешивают. Раствор стабилен в течении 1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Приготовление буферного раствора рН 7,5.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раствору натрия гидроксида 0,5 М (приготовленного без бария сульфата) прибавляют кислоту ортофосфорную, концентрированную до рН 7,5. В процессе приготовления раствора значение рН проверяют с помощью универсальной индикаторной бумаги, затем потенциометрическим методом.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Раствор стабилен в течение 3 (трех) месяцев.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Анестезин. 10 мл препарата помещают в делительную воронку, прибавляют 20 мл воды очищенной, перемешивают, прибавляют 20 мл хлороформа и взбалтывают в течение 2 (двух) минут. После расслаивания хлороформный слой фильтруют через бумажный фильтр с 3 г натрия сульфата безводного, смоченного хлороформом. Затем в делительную воронку прибавляют 20 мл хлороформа и взбалтывают в течение 2 (двух) минут. Хлороформное извлечение фильтруют через тот же фильтр. Извлечение хлороформом повторяют еще раз, затем хлороформные фазы объединяют и перегоняют. Остаток растворяют в 10 мл разведенной кислоты хлористоводородной, прибавляют 10 мл воды очищенной, 0,3 г калия бромида и периодически взбалтывая медленно титруют раствором нитрита натрия 0,1 моль/л при температуре не более 18-20 С° (индикатор-смесь тропеолина 00 с метиленовым синим).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мл раствора нитрита натрия 0,1 моль/л соответствует 0,01652 г С</w:t>
      </w:r>
      <w:r>
        <w:rPr>
          <w:rFonts w:ascii="times new roman;times" w:hAnsi="times new roman;times"/>
          <w:position w:val="-2"/>
          <w:sz w:val="19"/>
          <w:sz w:val="24"/>
        </w:rPr>
        <w:t>9</w:t>
      </w:r>
      <w:r>
        <w:rPr>
          <w:rFonts w:ascii="times new roman;times" w:hAnsi="times new roman;times"/>
          <w:sz w:val="24"/>
        </w:rPr>
        <w:t>Н</w:t>
      </w:r>
      <w:r>
        <w:rPr>
          <w:rFonts w:ascii="times new roman;times" w:hAnsi="times new roman;times"/>
          <w:position w:val="-2"/>
          <w:sz w:val="19"/>
          <w:sz w:val="24"/>
        </w:rPr>
        <w:t>12</w:t>
      </w:r>
      <w:r>
        <w:rPr>
          <w:rFonts w:ascii="times new roman;times" w:hAnsi="times new roman;times"/>
          <w:sz w:val="24"/>
        </w:rPr>
        <w:t>О</w:t>
      </w:r>
      <w:r>
        <w:rPr>
          <w:rFonts w:ascii="times new roman;times" w:hAnsi="times new roman;times"/>
          <w:position w:val="-2"/>
          <w:sz w:val="19"/>
          <w:sz w:val="24"/>
        </w:rPr>
        <w:t xml:space="preserve">2 </w:t>
      </w:r>
      <w:r>
        <w:rPr>
          <w:rFonts w:ascii="times new roman;times" w:hAnsi="times new roman;times"/>
          <w:sz w:val="24"/>
        </w:rPr>
        <w:t>(анестезина), которого в препарате должно быть не менее 0,95% и не более 1,05%.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МИКРОБИОЛОГИЧЕСКАЯ ЧИСТОТА: в соответствии с требованиями ОФС «Микробиологическая чистота».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ОБЪЕМ СОДЕРЖИМОГО УПАКОВКИ. Препарат должен соответствовать требованиям Приказа Министерства здравоохранения и социальной защиты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14</w:t>
        </w:r>
      </w:hyperlink>
      <w:r>
        <w:rPr>
          <w:rFonts w:ascii="times new roman;times" w:hAnsi="times new roman;times"/>
          <w:sz w:val="24"/>
        </w:rPr>
        <w:t xml:space="preserve"> «Об утверждении «Инструкции на допустимые отклонения при промышленном фасовании лекарственных средств» (САЗ 09-11).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УПАКОВКА. По 40, 50, 80 или 100 мл во флаконы оранжевого стекла или флаконы полимерные темного цвета. Флаконы оранжевого стекла укупориваются полиэтиленовыми пробками или пробками капельницами и навинчиваются пластмассовыми или полимерными крышками. Флаконы полимерные темного цвета навинчиваются полимерными пробками с или без контроля вскрытия или насадкой и колпачком, или пробкой капельницей и колпачком.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каждый флакон наклеивается этикетка, изготовленная из бумаги этикеточной, или писчей, или самоклеящейся.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Вторичная упаковка. По одному флакону вместе с инструкцией по медицинскому применению помещают в пачку картонную. Допускается укладка флаконов в групповую упаковку без индивидуальной упаковки с равным количеством инструкций по медицинскому применению.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Групповая упаковка. Флаконы вместе с инструкциями по медицинскому применению помещают в картонные коробки.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Групповая упаковка для транспортировки согласно ГОСТ 17768-90.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МАРКИРОВКА. Соответствует требованиям Приказа Министерства здравоохранения и социальной защиты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2008 года № 482</w:t>
        </w:r>
      </w:hyperlink>
      <w:r>
        <w:rPr>
          <w:rFonts w:ascii="times new roman;times" w:hAnsi="times new roman;times"/>
          <w:sz w:val="24"/>
        </w:rPr>
        <w:t xml:space="preserve"> «Об утверждении «Инструкции по графическому оформлению лекарственных средств, производимых на территории Приднестровской Молдавской Республики» (регистрационный № 4614 от 10 ноября 2008 года (САЗ 08-45), Приказа Министерства здравоохранения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2020 года № 654 «Об утверждении Требований к маркировке и оформлению лекарственных средств для медицинского применения и изделий медицинского назначения, производимых на территории Приднестровской Молдавской Республики фармацевтическими организациями» (САЗ 20-34)</w:t>
        </w:r>
      </w:hyperlink>
      <w:r>
        <w:rPr>
          <w:rFonts w:ascii="times new roman;times" w:hAnsi="times new roman;times"/>
          <w:sz w:val="24"/>
        </w:rPr>
        <w:t xml:space="preserve"> и ГФ ПМР XIV изд., т. I ч. 1: ОФС.1.0025.18. «Упаковка, маркировка и транспортирование лекарственных средств».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первичной (внутренней) упаковке лекарственного препарата указывается следующая информация: торговое наименование лекарственного препарата; лекарственная форма; количество лекарственного препарата в упаковке; наименование и адрес производителя лекарственного препарата, товарный знак; номер серии; дата истечения срока годности (годен до...»), регистрационный номер.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вторичной упаковке, а при ее отсутствии – на первичной упаковке лекарственного препарата указывается следующая информация: торговое наименование лекарственного препарата, лекарственная форма, количество лекарственного препарата в упаковке , информация о составе лекарственного препарата, наименование и адрес производителя лекарственного препарата, товарный знак, номер серии, регистрационный номер, дата производства, дата истечения срока годности(«годен до…»), условия хранения, условия отпуска, предупредительные надписи «хранить в недоступном для детей месте».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групповой упаковке – торговое наименование лекарственного препарата, наименование и адрес производителя лекарственного препарата, количество лекарственного препарата в упаковке, и (или) количество упаковок в групповой упаковке, условия хранения и при необходимости условия транспортировки, номер серии, дата производства, дата истечения срока годности (годен до…»).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ХРАНЕНИЕ. Хранить в защищенном от света месте, при температуре не выше 25 °С. Хранить в недоступном для детей месте.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ГОДНОСТИ. 2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Примечание. Реактивы, титрованные растворы и индикаторы, приведенные в настоящей фармакопейной статье, описаны в соответствующих разделах Государственной фармакопеи Приднестровской Молдавской Республики Х и ХIV издания.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C%D0%B0%D1%80%D1%82%D0%B0%202015%20%D0%B3%D0%BE%D0%B4%D0%B0%20%E2%84%96%20165" TargetMode="External"/><Relationship Id="rId6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1%20%D0%B0%D0%BF%D1%80%D0%B5%D0%BB%D1%8F%202022%20%D0%B3%D0%BE%D0%B4%D0%B0%20%E2%84%96%20327%20%28%D0%A1%D0%90%D0%97%2022-14%29" TargetMode="External"/><Relationship Id="rId31" Type="http://schemas.openxmlformats.org/officeDocument/2006/relationships/hyperlink" Target="documents/search/doc-link/?q=%D0%BE%D1%82%2024%20%D0%B8%D1%8E%D0%BD%D1%8F%202024%20%D0%B3%D0%BE%D0%B4%D0%B0%20%E2%84%96%20486-%D0%9E%D0%94" TargetMode="External"/><Relationship Id="rId32" Type="http://schemas.openxmlformats.org/officeDocument/2006/relationships/hyperlink" Target="documents/search/doc-link/?q=%D0%BE%D1%82%2014%20%D1%8F%D0%BD%D0%B2%D0%B0%D1%80%D1%8F%202009%20%D0%B3%D0%BE%D0%B4%D0%B0%20%E2%84%96%2014" TargetMode="External"/><Relationship Id="rId33" Type="http://schemas.openxmlformats.org/officeDocument/2006/relationships/hyperlink" Target="documents/search/doc-link/?q=%D0%BE%D1%82%2030%20%D1%81%D0%B5%D0%BD%D1%82%D1%8F%D0%B1%D1%80%D1%8F%202008%20%D0%B3%D0%BE%D0%B4%D0%B0%20%E2%84%96%20482" TargetMode="External"/><Relationship Id="rId34" Type="http://schemas.openxmlformats.org/officeDocument/2006/relationships/hyperlink" Target="documents/search/doc-link/?q=%D0%BE%D1%82%2022%20%D0%B8%D1%8E%D0%BB%D1%8F%202020%20%D0%B3%D0%BE%D0%B4%D0%B0%20%E2%84%96%20654%20%C2%AB%D0%9E%D0%B1%20%D1%83%D1%82%D0%B2%D0%B5%D1%80%D0%B6%D0%B4%D0%B5%D0%BD%D0%B8%D0%B8%20%D0%A2%D1%80%D0%B5%D0%B1%D0%BE%D0%B2%D0%B0%D0%BD%D0%B8%D0%B9%20%D0%BA%20%D0%BC%D0%B0%D1%80%D0%BA%D0%B8%D1%80%D0%BE%D0%B2%D0%BA%D0%B5%20%D0%B8%20%D0%BE%D1%84%D0%BE%D1%80%D0%BC%D0%BB%D0%B5%D0%BD%D0%B8%D1%8E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20%D0%B8%20%D0%B8%D0%B7%D0%B4%D0%B5%D0%BB%D0%B8%D0%B9%20%D0%BC%D0%B5%D0%B4%D0%B8%D1%86%D0%B8%D0%BD%D1%81%D0%BA%D0%BE%D0%B3%D0%BE%20%D0%BD%D0%B0%D0%B7%D0%BD%D0%B0%D1%87%D0%B5%D0%BD%D0%B8%D1%8F%2C%20%D0%BF%D1%80%D0%BE%D0%B8%D0%B7%D0%B2%D0%BE%D0%B4%D0%B8%D0%BC%D1%8B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1%84%D0%B0%D1%80%D0%BC%D0%B0%D1%86%D0%B5%D0%B2%D1%82%D0%B8%D1%87%D0%B5%D1%81%D0%BA%D0%B8%D0%BC%D0%B8%20%D0%BE%D1%80%D0%B3%D0%B0%D0%BD%D0%B8%D0%B7%D0%B0%D1%86%D0%B8%D1%8F%D0%BC%D0%B8%C2%BB%20%28%D0%A1%D0%90%D0%97%2020-3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1985</Words>
  <Characters>12470</Characters>
  <CharactersWithSpaces>14551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