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15 ноября 2024 года по 18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15 ноября 2024 года по 18 ноября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0,5614;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25 (двадцати пяти)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15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1128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14 ноября 2024 года № 1128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15 ноября 2024 года по 18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                          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14 ноября 2024 года № 1128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15 ноября 2024 года по 18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4%20%D0%BD%D0%BE%D1%8F%D0%B1%D1%80%D1%8F%202024%20%D0%B3%D0%BE%D0%B4%D0%B0%20%E2%84%96%20112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7102</Characters>
  <CharactersWithSpaces>8704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