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наказах избирателей»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561-З-IV «О наказах избирателей» (САЗ 08-39)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150-ЗИД-VI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87-ЗИ-VI (САЗ 20-28)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5 после слов «избирательным округам» дополнить словами «либо по письменным коллективным обращениям избирателей по соответствующему избирательному округу».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Обязанность по организации собрания избирателей несут депутаты по соответствующим избирательным округам. Депутат обязан организовать собрание избирателей по требованию не менее чем 10 (десяти) избирателей по соответствующему избирательному округу».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5 дополнить пунктом 2-1 следующего содержания: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В случае отсутствия депутата Верховного Совета Приднестровской Молдавской Республики по избирательному округу организация собрания избирателей осуществляется по инициативе не менее чем 10 (десяти) избирателей и (или) депутата (депутатов) местного Совета народных депутатов по соответствующему избирательному округу.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таком случае наказы избирателей утверждаются решением сессии соответствующего местного Совета народных депутатов и передаются в Верховный Совет Приднестровской Молдавской Республики для формирования государственной программы исполнения наказов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5 дополнить пунктом 2-2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«2-2. В случае отсутствия депутата местного Совета народных депутатов по избирательному округу организация собрания избирателей осуществляется по инициативе не менее чем 10 (десяти) избирателей по соответствующему избирательному округу и (или) депутата Верховного Совета Приднестровской Молдавской Республики, на избирательном округе которого отсутствует депутат местного Совета народных депутатов.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таком случае наказы избирателей по избирательному округу, на котором отсутствует депутат, направляются председателю соответствующего местного Совета народных депутатов для включения их в муниципальную программу исполнения наказов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Часть третью пункта 9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«Очередные собрания избирателей по формированию наказов избирателей проводятся ежегодно в срок не позднее 1 (одного) месяца с момента вступления в силу закона (решения) о республиканском (местном) бюджете на очередной финансовый год, в случае если в нем предусмотрено финансирование в текущем финансовом году государственной (муниципальной) программы исполнения наказов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5 дополнить пунктом 10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Письменные коллективные обращения избирателей к депутатам соответствующего Совета, подписанные не менее чем 10 (десятью) избирателями по соответствующему избирательному округу и соответствующие требованиям статьи 3 настоящего Закона, по решению депутата, в чей адрес было направлено коллективное обращение, могут быть оформлены как наказ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а) пункта 4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копии письменных коллективных обращений, оформленных как наказ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б) пункта 4 статьи 6 после слов «выписка из него» дополнить словами в скобках «по наказам, утвержденным решением собраний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Часть первую пункта 1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«Списки наказов избирателей с соответствующими приложениями, составленные по результатам очередного собрания избирателей, направляются депутатами председателю соответствующего Совета не позднее 1 (одного) месяца с момента вступления в силу закона (решения) о республиканском (местном) бюджете на очередной финансовый год, в случае если в нем предусмотрено финансирование в текущем финансовом году государственной (муниципальной) программы исполнения наказов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Часть вторую пункта 1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«Списки наказов избирателей с соответствующими приложениями, составленные по результатам внеочередного собрания избирателей либо сформированные по полученным письменным коллективным обращениям избирателей, направляются депутатами председателю соответствующего Совета для рассмотрения вопроса о внесении изменений и (или) дополнений в утвержденный перечень наказов избирателей и (или) государственную (муниципальную) программу исполнения наказов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Часть первую пункта 6 статьи 8 после слов «сформированные на внеочередных собраниях избирателей» дополнить словами «или на основе письменных коллективных обращений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Пункт 7 статьи 8 после слов «сформированные на внеочередных собраниях избирателей» дополнить словами «или на основе письменных коллективных обращений избирателей».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190-ЗИД-VII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E%D0%BA%D1%82%D1%8F%D0%B1%D1%80%D1%8F%202008%20%D0%B3%D0%BE%D0%B4%D0%B0%20%E2%84%96%20561-%D0%97-IV%20%C2%AB%D0%9E%20%D0%BD%D0%B0%D0%BA%D0%B0%D0%B7%D0%B0%D1%85%20%D0%B8%D0%B7%D0%B1%D0%B8%D1%80%D0%B0%D1%82%D0%B5%D0%BB%D0%B5%D0%B9%C2%BB%20%28%D0%A1%D0%90%D0%97%2008-39%29" TargetMode="External"/><Relationship Id="rId6" Type="http://schemas.openxmlformats.org/officeDocument/2006/relationships/hyperlink" Target="documents/search/doc-link/?q=%D0%BE%D1%82%2023%20%D0%B8%D1%8E%D0%BB%D1%8F%202019%20%D0%B3%D0%BE%D0%B4%D0%B0%20%E2%84%96%20150-%D0%97%D0%98%D0%94-VI%20%28%D0%A1%D0%90%D0%97%2019-28%29" TargetMode="External"/><Relationship Id="rId7" Type="http://schemas.openxmlformats.org/officeDocument/2006/relationships/hyperlink" Target="documents/search/doc-link/?q=%D0%BE%D1%82%207%20%D0%B8%D1%8E%D0%BB%D1%8F%202020%20%D0%B3%D0%BE%D0%B4%D0%B0%20%E2%84%96%2087-%D0%97%D0%98-VI%20%28%D0%A1%D0%90%D0%97%2020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640</Words>
  <Characters>4530</Characters>
  <CharactersWithSpaces>5188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