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июня 2007 года № 74-П «О порядке выдачи Приднестровским республиканским банком разрешений на проведение отдельных видов валютных операций, связанных с движением капитала»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4017 от 26 июля 2007 года) (САЗ 07-31)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43 от 12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12752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6 июня 1995 года «О валютном регулировании и валютном контроле» (СЗМР 95-2).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2007 года № 74-П «О порядке выдачи Приднестровским республиканским банком разрешений на проведение отдельных видов валютных операций, связанных с движением капитала»</w:t>
        </w:r>
      </w:hyperlink>
      <w:r>
        <w:rPr>
          <w:rFonts w:ascii="times new roman;times" w:hAnsi="times new roman;times"/>
          <w:sz w:val="24"/>
        </w:rPr>
        <w:t xml:space="preserve"> (регистрационный № 4017 от 26 июля 2007 года) (САЗ 07-31) с изменениями и дополнениями,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2009 года № 334-У</w:t>
        </w:r>
      </w:hyperlink>
      <w:r>
        <w:rPr>
          <w:rFonts w:ascii="times new roman;times" w:hAnsi="times new roman;times"/>
          <w:sz w:val="24"/>
        </w:rPr>
        <w:t xml:space="preserve"> (регистрационный № 5036 от 19 октября 2009 года) (САЗ 09-43);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2010 года № 392-У</w:t>
        </w:r>
      </w:hyperlink>
      <w:r>
        <w:rPr>
          <w:rFonts w:ascii="times new roman;times" w:hAnsi="times new roman;times"/>
          <w:sz w:val="24"/>
        </w:rPr>
        <w:t xml:space="preserve"> (регистрационный № 5289 от 16 июня 2010 года) (САЗ 10-24);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2011 года № 448-У</w:t>
        </w:r>
      </w:hyperlink>
      <w:r>
        <w:rPr>
          <w:rFonts w:ascii="times new roman;times" w:hAnsi="times new roman;times"/>
          <w:sz w:val="24"/>
        </w:rPr>
        <w:t xml:space="preserve"> (регистрационный № 5608 от 27 апреля 2011 года) (САЗ 11-17);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2012 года № 541-У</w:t>
        </w:r>
      </w:hyperlink>
      <w:r>
        <w:rPr>
          <w:rFonts w:ascii="times new roman;times" w:hAnsi="times new roman;times"/>
          <w:sz w:val="24"/>
        </w:rPr>
        <w:t xml:space="preserve"> (регистрационный № 5994 от 5 апреля 2012 года) (САЗ 12-19);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2018 года № 1086-У</w:t>
        </w:r>
      </w:hyperlink>
      <w:r>
        <w:rPr>
          <w:rFonts w:ascii="times new roman;times" w:hAnsi="times new roman;times"/>
          <w:sz w:val="24"/>
        </w:rPr>
        <w:t xml:space="preserve"> (регистрационный № 8323 от 5 июля 2018 года) (САЗ 18-27);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2019 года № 1205-У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9214 от 11 декабря 2019 года) (САЗ 19-48);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2022 года № 1414-У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11057 от 31 мая 2022 года) (САЗ 22-21);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 1437-У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11341 от 1 ноября 2022 года) (САЗ 22-46), (далее - Положение)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д) пункта 2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Иные валютные операции, связанные с движением капитала, предусматривающие перевод иностранной валюты в пользу нерезидентов со счетов юридических лиц - резидентов в иностранной валюте в уполномоченных банках за исключением: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переводов иностранной валюты в пользу нерезидентов, связанных с проведением расчетов по соглашениям о возложении на третьи лица – резидентов и (или) нерезидентов обязанностей по исполнению всех (части) финансовых обязательств по внешнеэкономическому договору (контракту), платежи по которому в случае их осуществления заключившим его юридическим лицом – резидентом, относятся к текущим валютным операциям;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переводов иностранной валюты в пользу нерезидентов, в случае передачи нерезидентом своих прав путем уступки требования (частичной уступки требования) другому лицу – нерезиденту по договору (контракту), платежи по которому в случае их осуществления заключившим его юридическим лицом – резидентом, относятся к текущим валютным операциям;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перевода иностранной валюты в пользу нерезидентов, в случае перевода юридическим лицом – резидентом долга (частичного перевода долга) на другое лицо – резидента и (или) нерезидента в рамках соглашения, предусматривающего перевод долга по внешнеэкономическому договору (контракту), платежи по которому в случае их осуществления юридическим лицом – резидентом, относятся к текущим валютным операциям.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осуществлении юридическим лицом валютных операций, указанных в подпунктах 1)-3) настоящего подпункта, не требуется получение Разрешения;»;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Валютные операции осуществляются юридическими лицами на основании Разрешений (Дополнений к Разрешению). Получение Разрешения (Дополнения к Разрешению) является обязательным и не зависит от суммы валютной операции.».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1566–У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07%20%D0%B3%D0%BE%D0%B4%D0%B0%20%E2%84%96%C2%A074-%D0%9F%20%C2%AB%D0%9E%20%D0%BF%D0%BE%D1%80%D1%8F%D0%B4%D0%BA%D0%B5%20%D0%B2%D1%8B%D0%B4%D0%B0%D1%87%D0%B8%20%D0%9F%D1%80%D0%B8%D0%B4%D0%BD%D0%B5%D1%81%D1%82%D1%80%D0%BE%D0%B2%D1%81%D0%BA%D0%B8%D0%BC%20%D1%80%D0%B5%D1%81%D0%BF%D1%83%D0%B1%D0%BB%D0%B8%D0%BA%D0%B0%D0%BD%D1%81%D0%BA%D0%B8%D0%BC%20%D0%B1%D0%B0%D0%BD%D0%BA%D0%BE%D0%BC%20%D1%80%D0%B0%D0%B7%D1%80%D0%B5%D1%88%D0%B5%D0%BD%D0%B8%D0%B9%20%D0%BD%D0%B0%20%D0%BF%D1%80%D0%BE%D0%B2%D0%B5%D0%B4%D0%B5%D0%BD%D0%B8%D0%B5%20%D0%BE%D1%82%D0%B4%D0%B5%D0%BB%D1%8C%D0%BD%D1%8B%D1%85%20%D0%B2%D0%B8%D0%B4%D0%BE%D0%B2%20%D0%B2%D0%B0%D0%BB%D1%8E%D1%82%D0%BD%D1%8B%D1%85%20%D0%BE%D0%BF%D0%B5%D1%80%D0%B0%D1%86%D0%B8%D0%B9%2C%20%D1%81%D0%B2%D1%8F%D0%B7%D0%B0%D0%BD%D0%BD%D1%8B%D1%85%20%D1%81%20%D0%B4%D0%B2%D0%B8%D0%B6%D0%B5%D0%BD%D0%B8%D0%B5%D0%BC%20%D0%BA%D0%B0%D0%BF%D0%B8%D1%82%D0%B0%D0%BB%D0%B0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0%20%D0%B8%D1%8E%D0%BD%D1%8F%202009%20%D0%B3%D0%BE%D0%B4%D0%B0%20%E2%84%96%C2%A0334-%D0%A3" TargetMode="External"/><Relationship Id="rId8" Type="http://schemas.openxmlformats.org/officeDocument/2006/relationships/hyperlink" Target="documents/search/doc-link/?q=%D0%BE%D1%82%2028%20%D0%BC%D0%B0%D1%8F%202010%20%D0%B3%D0%BE%D0%B4%D0%B0%20%E2%84%96%C2%A0392-%D0%A3" TargetMode="External"/><Relationship Id="rId9" Type="http://schemas.openxmlformats.org/officeDocument/2006/relationships/hyperlink" Target="documents/search/doc-link/?q=%D0%BE%D1%82%2029%20%D0%BC%D0%B0%D1%80%D1%82%D0%B0%202011%20%D0%B3%D0%BE%D0%B4%D0%B0%20%E2%84%96%C2%A0448-%D0%A3" TargetMode="External"/><Relationship Id="rId10" Type="http://schemas.openxmlformats.org/officeDocument/2006/relationships/hyperlink" Target="documents/search/doc-link/?q=%D0%BE%D1%82%2011%20%D0%B0%D0%BF%D1%80%D0%B5%D0%BB%D1%8F%202012%20%D0%B3%D0%BE%D0%B4%D0%B0%20%E2%84%96%C2%A0541-%D0%A3" TargetMode="External"/><Relationship Id="rId11" Type="http://schemas.openxmlformats.org/officeDocument/2006/relationships/hyperlink" Target="documents/search/doc-link/?q=%D0%BE%D1%82%2018%20%D0%B8%D1%8E%D0%BD%D1%8F%202018%20%D0%B3%D0%BE%D0%B4%D0%B0%20%E2%84%96%C2%A01086-%D0%A3" TargetMode="External"/><Relationship Id="rId12" Type="http://schemas.openxmlformats.org/officeDocument/2006/relationships/hyperlink" Target="documents/search/doc-link/?q=%D0%BE%D1%82%2020%20%D0%BD%D0%BE%D1%8F%D0%B1%D1%80%D1%8F%202019%20%D0%B3%D0%BE%D0%B4%D0%B0%20%E2%84%96%C2%A01205-%D0%A3" TargetMode="External"/><Relationship Id="rId13" Type="http://schemas.openxmlformats.org/officeDocument/2006/relationships/hyperlink" Target="documents/search/doc-link/?q=%D0%BE%D1%82%2021%20%D0%B0%D0%BF%D1%80%D0%B5%D0%BB%D1%8F%202022%20%D0%B3%D0%BE%D0%B4%D0%B0%20%E2%84%96%C2%A01414-%D0%A3" TargetMode="External"/><Relationship Id="rId14" Type="http://schemas.openxmlformats.org/officeDocument/2006/relationships/hyperlink" Target="documents/search/doc-link/?q=%D0%BE%D1%82%2017%20%D0%BE%D0%BA%D1%82%D1%8F%D0%B1%D1%80%D1%8F%202022%20%D0%B3%D0%BE%D0%B4%D0%B0%20%E2%84%96%C2%A01437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564</Words>
  <Characters>3524</Characters>
  <CharactersWithSpaces>4141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