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</w:t>
      </w:r>
      <w:r>
        <w:rPr>
          <w:rStyle w:val="Strong"/>
          <w:rFonts w:ascii="times new roman;times" w:hAnsi="times new roman;times"/>
          <w:sz w:val="24"/>
        </w:rPr>
        <w:t>ПОСТАНОВЛЕНИЕ № 3045/2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отчуждении Приднестровским республиканским банком объекта недвижимого имущества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230 Гражданского кодекса Приднестровской Молдавской Республики, пунктом 2 статьи 3 и подпунктом к) пункта 2 </w:t>
      </w:r>
      <w:r>
        <w:rPr/>
        <w:br/>
      </w:r>
      <w:r>
        <w:rPr>
          <w:rFonts w:ascii="times new roman;times" w:hAnsi="times new roman;times"/>
          <w:sz w:val="24"/>
        </w:rPr>
        <w:t xml:space="preserve">статьи 6 Закона Приднестровской Молдавской Республики «О центральном банке Приднестровской Молдавской Республики»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Приднестровскому республиканскому банку посредством заключения договора купли-продажи произвести возмездное отчуждение объекта недвижимого имущества, расположенного по адресу: г. Тирасполь, </w:t>
      </w:r>
      <w:r>
        <w:rPr/>
        <w:br/>
      </w:r>
      <w:r>
        <w:rPr>
          <w:rFonts w:ascii="times new roman;times" w:hAnsi="times new roman;times"/>
          <w:sz w:val="24"/>
        </w:rPr>
        <w:t xml:space="preserve">пер. Шевченко, д. 3, в виде столовой, лит. В-1828,9 кв. м (с подвалом под </w:t>
      </w:r>
      <w:r>
        <w:rPr/>
        <w:br/>
      </w:r>
      <w:r>
        <w:rPr>
          <w:rFonts w:ascii="times new roman;times" w:hAnsi="times new roman;times"/>
          <w:sz w:val="24"/>
        </w:rPr>
        <w:t>лит. В-604,1 кв. м), и заготовительного участка, лит. Г-255,8 кв.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      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«22»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3045/2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132</Words>
  <Characters>936</Characters>
  <CharactersWithSpaces>1125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