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установлении на 2025 год предельных уровней тарифов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услуги государственных учреждений, подведомственных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Министерству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588, 598 Гражданского кодекса Приднестровской Молдавской Республики, статьями 9, 15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
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
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
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
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
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
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на 2025 год предельных уровней тарифов на услуги государственных учреждений, подведомственных Министерству здравоохранения Приднестровской Молдавской Республики, а также исполнения условий Договора дарения, заключенного между Фондом «Приднестровский гуманитарный фонд» и Правительством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2013 года № 1</w:t>
        </w:r>
      </w:hyperlink>
      <w:r>
        <w:rPr>
          <w:rFonts w:ascii="times new roman;times" w:hAnsi="times new roman;times"/>
          <w:sz w:val="24"/>
        </w:rPr>
        <w:t xml:space="preserve">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 Установить на 2025 год предельные уровни тарифов на услуги государственных учреждений, подведомственных Министерству здравоохранения Приднестровской Молдавской Республики,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 Установить перечень оснований, при наличии которых исключительно гражданам Приднестровской Молдавской Республики предоставляются льготы при оказании услуг на компьютерном томографе «SOMATOM Definition AS </w:t>
      </w:r>
      <w:r>
        <w:rPr/>
        <w:br/>
      </w:r>
      <w:r>
        <w:rPr>
          <w:rFonts w:ascii="times new roman;times" w:hAnsi="times new roman;times"/>
          <w:sz w:val="24"/>
        </w:rPr>
        <w:t>(64 среза)», Siemens (при наличии медицинский показаний):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в размере 100% – детям-сиротам, детям в возрасте до 4 (четырех) лет, детям с онкологическими заболеваниями в возрасте от 4 (четырех) до </w:t>
      </w:r>
      <w:r>
        <w:rPr/>
        <w:br/>
      </w:r>
      <w:r>
        <w:rPr>
          <w:rFonts w:ascii="times new roman;times" w:hAnsi="times new roman;times"/>
          <w:sz w:val="24"/>
        </w:rPr>
        <w:t>18 (восемнадцати) лет включительно, инвалидам войны, ветеранам ВОВ;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в размере 100 % – больным, находящимся по состоянию здоровья </w:t>
      </w:r>
      <w:r>
        <w:rPr/>
        <w:br/>
      </w:r>
      <w:r>
        <w:rPr>
          <w:rFonts w:ascii="times new roman;times" w:hAnsi="times new roman;times"/>
          <w:sz w:val="24"/>
        </w:rPr>
        <w:t xml:space="preserve">в реанимационных отделениях лечебно-профилактических учреждений, по решению врачебного консилиума данных учреждений (2 исследования </w:t>
      </w:r>
      <w:r>
        <w:rPr/>
        <w:br/>
      </w:r>
      <w:r>
        <w:rPr>
          <w:rFonts w:ascii="times new roman;times" w:hAnsi="times new roman;times"/>
          <w:sz w:val="24"/>
        </w:rPr>
        <w:t>в месяц);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размере 100% – больным, нуждающимся в данном виде диагностики по медицинским показаниям, по решению врачебно-консультационной комиссии лечебно-профилактического учреждения (2 исследования в месяц);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размере 20% – реабилитированным жертвам политических репрессий; участникам войны; гражданам, пострадавшим вследствие аварии на Чернобыльской атомной электростанции, испытаний ядерного оружия, радиационных аварий; участникам боевых действий; участникам боевых действий по защите Приднестровской Молдавской Республики; семьям погибших или умерших участников боевых действий; инвалидам I, II и III групп; детям-инвалидам в возрасте от 4 (четырех) до 18 (восемнадцати) лет; многодетным семьям;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размере 10% – ветеранам труда, ветеранам военной службы, лицам, имеющим особые трудовые заслуги перед Родиной, пенсионерам по возрасту.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Предельный уровень тарифа на услугу, указанную в строке 235 Приложения к настоящему Постановлению, применяется с коэффициентом в размере 0,1.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4. Настоящее Постановление вступает в силу с 1 января 2025 года </w:t>
      </w:r>
      <w:r>
        <w:rPr/>
        <w:br/>
      </w:r>
      <w:r>
        <w:rPr>
          <w:rFonts w:ascii="times new roman;times" w:hAnsi="times new roman;times"/>
          <w:sz w:val="24"/>
        </w:rPr>
        <w:t>и действует по 31 декабря 2025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                                                                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16 сентября 2024 года № 401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Предельные уровни тарифов на 2025 год на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государственных учреждений, подведомственных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Министерству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24"/>
        <w:gridCol w:w="6382"/>
        <w:gridCol w:w="1425"/>
        <w:gridCol w:w="1679"/>
      </w:tblGrid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Предельный уровень тарифа,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рубли Приднестровской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Молдавской Республики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1. Пребывание в отделениях стационара без стоимости параклинических обследований и хирургических вмешательств (включено обеспечение медикаментами, питание)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99,45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Кардиология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151,60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Ревматология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110,30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Гастроэнтерология 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107,20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Эндокринология 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99,45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Пульмонология 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99,45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Нефрология 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111,60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Нефрология 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88,80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Инфекционное отделение 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97,10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Инфекционное отделение 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97,10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Хирургия 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133,60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Хирургия 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Травматология 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129,45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Травматология 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Урология 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126,55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Урология 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Нейрохирургия 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173,05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Нейрохирургия 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169,90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Гнойная хирургия 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246,05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Гнойная хирургия 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162,25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Отделение сосудистой хирургии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176,30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Онкология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122,80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Неврология 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101,10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Неврология 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113,25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Психиатрия (психоневрология) 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88,95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Психиатрия (психоневрология) 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Наркология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110,30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Офтальмология 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177,10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Оториноларингология 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131,80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Оториноларингология 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110,75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Дерматовенерология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101,40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Педиатрия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109,20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Гинекология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99,45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Гинекология для медикаментозного аборта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 койко-дня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733,60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Отделение для беременных и рожениц (родильное и послеродовое)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131,80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Патология беременности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99,45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Дневной стационар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Пребывание с детьми старше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</w:t>
            </w:r>
            <w:r>
              <w:rPr>
                <w:rFonts w:ascii="times new roman;times" w:hAnsi="times new roman;times"/>
                <w:strike/>
                <w:sz w:val="14"/>
              </w:rPr>
              <w:t>-</w:t>
            </w:r>
            <w:r>
              <w:rPr>
                <w:rFonts w:ascii="times new roman;times" w:hAnsi="times new roman;times"/>
                <w:sz w:val="14"/>
              </w:rPr>
              <w:t>ти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Неврологическое отделение по лечению больных с НМК (ангионеврология)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107,40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Комфортабельная палата (без обеспечения медикаментами и питанием)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Палата повышенной комфортности (люкс)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1-комнатная (без обеспечения медикаментами и питанием)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239,25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Палата повышенной комфортности (люкс)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2-комнатная (без обеспечения медикаментами и питанием)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321,30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2. Прием врача и консультация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Прием врача первичный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176,90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Прием врача повторный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Консультация специалиста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консультация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100,00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3. Логопедические услуги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Логопедическое занятие – индивидуальное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занятие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115,95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4. Процедуры в поликлинике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 общие процедуры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Измерение артериального давления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Инъекция внутримышечная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Внутривенное вливание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Внутривенное капельное вливание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59,50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Большая аутогемотерапия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36,45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Денситометрия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Дерматоскопия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Проба на индивидуальную переносимость лекарственного препарата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Внутрисуставная пункция с лечением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107,20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Паравертебральная блокада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252,00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 урологические процедуры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Инстилляция в мочевой пузырь у женщин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Забор сока предстательной железы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Катетеризация мочевого пузыря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Замена эпицистомы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Бужирование простаты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 оториноларингологические процедуры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слуха методом речевой аудиометрии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слуха методом тональной аудиометрии в конвенциональном диапазоне (0,125-8 кгц) с речевой аудиометрией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Пункция диагностическая (лечебная) гайморовых пазух с дренированием последних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Пневмомассаж барабанных перепонок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61,60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Промывание лакун миндалин со смазыванием слизистой глотки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92,40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Продувание слуховых труб по Политцеру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Промывание гайморовых пазух методом перемещения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Промывание серных пробок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Эндоскопический осмотр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ЛОР-органов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Закрытая репозиция перелома костей носа (неосложненного)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493,05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инородного тела из ЛОР-органов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Внутригортанное вливание лекарственных средств (без стоимости лекарственных средств)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Вскрытие и дренирование фурункула ЛОР органов (неосложненного)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187,55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Вскрытие и дренирование нагноившейся атеромы ЛОР органов (неосложненной)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178,75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Вскрытие и дренирование паратонзиллярного абсцесса (неосложненного)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305,85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г) офтальмологические процедуры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Консультация врача, подбор очков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консультация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73,50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Консультация врача и тонометрия, офтальмоскопия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консультация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87,50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Консультация врача и аппаратная офтальмо-, рефракторрометрия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консультация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62,80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глазного дна, описание, заключение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поля зрения, кампиметрия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Тонометрия глаз по Маклакову и эластотонометрия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52,50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периметрия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Когерентная томография сетчатки глаза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169,60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Скиаскопические исследования рефракции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поверхностных инородных тел из оболочек глаз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87,50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д) процедуры в травматологии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Переартикулярное введение препаратов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Наложение мягкой повязки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47,50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Перевязка послеоперационная чистая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44,80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Перевязка малых гнойных ран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Наложение фиксирующей повязки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36,35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Наложение малой гипсовой повязки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Снятие гипсовой повязки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38,50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е) процедуры по рефлексотерапии и нетрадиционным методам лечения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Мануальная рефлексотерапия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Иглорефлексотерапия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Магнитолазеротерапия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Точечный массаж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Аурикулотерапия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50,95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ж) гинекологические процедуры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Кольпоскопия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Электрокоагуляция патологических участков шейки матки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254,10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Криодеструкция шейки матки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65,90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Комплексное лечение и контроль излеченности партнеров с хроническими урогенитальными инфекциями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Медикаментозный аборт (без обеспечения лекарственными средствами)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136,80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Парацервикальные инъекции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инъекция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з) процедуры в проктологии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Ректороманоскопия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60,65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5. Амбулаторная хирургическая помощь в гинекологии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Контрацепция внутриматочная (без стоимости спирали)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ВМС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Аспирационная биопсия из полости матки методом мануальной вакуум-аспирации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84,70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Биопсия шейки матки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Электроконизация шейки матки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553,00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6. Медицинские услуги на дому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Консультация врача – специалиста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консультация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426,50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7. Медицинские услуги нарколога, психотерапевта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Купирование запоя дезинтоксикационными средствами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 недели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260,05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Медицинское освидетельствование для установления состояния опьянения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освиде-тельствование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95,05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8. Физиотерапевтические услуги в отделении (кабинетах) физиотерапии (восстановительного лечения)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 физиотерапевтические процедуры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Лекарственный электрофорез постоянными токами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УВЧ-терапия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Дарсонвализация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Гальванизация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СМТ-терапия (амплипульс)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Диадинамофорез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Диадинамотерапия (токи Бернара)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Ультразвуковая 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Лечение интерференционными токами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46,35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Микроволновая 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Ультрафиолетовое облучение (УФО)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Фонофорез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59,50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Электрофорез СМТ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Ингаляция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Магнитотерапия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Облучение лампой «Соллюкс»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Электросон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Лазеротерапия аппаратом «Рефтон-01-ФЛС»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29,05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Электростимуляция аппаратом «Дельта»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Постизометрическая релаксация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Ортостатическая тракция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69,90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Спелеотерапия: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Сеанс барокамеры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сеанс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81,95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Транскраниальная микрополяризация головного мозга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224,00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 массаж у взрослых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Общий массаж тела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головы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воротниковой зоны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верхней конечности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верхней конечности, надплечья и области лопатки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области грудной клетки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52,50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спины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мышц передней брюшной стенки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пояснично-крестцовой области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Сегментарный массаж пояснично-крестцовой области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спины и поясницы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шейно-грудного отдела позвоночника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области позвоночника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нижней конечности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нижней конечности и поясницы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лица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шеи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одного сустава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плечевого сустава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локтевого сустава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лучезапястного сустава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коленного сустава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голеностопного сустава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кисти и предплечья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стопы и голени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Точечный массаж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61,60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Вакуум-массаж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Вибромассаж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17,60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 массаж у дете</w:t>
            </w:r>
          </w:p>
        </w:tc>
      </w:tr>
    </w:tbl>
    <w:p>
      <w:pPr>
        <w:pStyle w:val="BodyText"/>
        <w:bidi w:val="0"/>
        <w:spacing w:before="0" w:after="0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31%20%D0%B4%D0%B5%D0%BA%D0%B0%D0%B1%D1%80%D1%8F%202004%20%D0%B3%D0%BE%D0%B4%D0%B0%20%0A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7" Type="http://schemas.openxmlformats.org/officeDocument/2006/relationships/hyperlink" Target="documents/search/doc-link/?q=%D0%BE%D1%82%2020%20%D0%BE%D0%BA%D1%82%D1%8F%D0%B1%D1%80%D1%8F%20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8" Type="http://schemas.openxmlformats.org/officeDocument/2006/relationships/hyperlink" Target="documents/search/doc-link/?q=%D0%BE%D1%82%2029%20%D0%BC%D0%B0%D1%80%D1%82%D0%B0%202018%20%D0%B3%D0%BE%D0%B4%D0%B0%20%E2%84%96%2093%20%0A%28%D0%A1%D0%90%D0%97%2018-13%29" TargetMode="External"/><Relationship Id="rId9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0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1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2" Type="http://schemas.openxmlformats.org/officeDocument/2006/relationships/hyperlink" Target="documents/search/doc-link/?q=%D0%BE%D1%82%206%20%D1%81%D0%B5%D0%BD%D1%82%D1%8F%D0%B1%D1%80%D1%8F%20%0A2019%20%D0%B3%D0%BE%D0%B4%D0%B0%20%E2%84%96%20328%20%28%D0%A1%D0%90%D0%97%2019-34%29" TargetMode="External"/><Relationship Id="rId13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4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5" Type="http://schemas.openxmlformats.org/officeDocument/2006/relationships/hyperlink" Target="documents/search/doc-link/?q=%D0%BE%D1%82%2010%20%D0%B0%D0%BF%D1%80%D0%B5%D0%BB%D1%8F%202020%20%D0%B3%D0%BE%D0%B4%D0%B0%20%E2%84%96%20109%20%0A%28%D0%A1%D0%90%D0%97%2020-15%29" TargetMode="External"/><Relationship Id="rId16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7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8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19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0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1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2" Type="http://schemas.openxmlformats.org/officeDocument/2006/relationships/hyperlink" Target="documents/search/doc-link/?q=%D0%BE%D1%82%2021%20%D0%BE%D0%BA%D1%82%D1%8F%D0%B1%D1%80%D1%8F%202022%20%D0%B3%D0%BE%D0%B4%D0%B0%20%E2%84%96%20392%20%0A%28%D0%A1%D0%90%D0%97%2022-42%29" TargetMode="External"/><Relationship Id="rId23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4" Type="http://schemas.openxmlformats.org/officeDocument/2006/relationships/hyperlink" Target="documents/search/doc-link/?q=%D0%BE%D1%82%2014%20%D0%BC%D0%B0%D1%80%D1%82%D0%B0%202023%20%D0%B3%D0%BE%D0%B4%D0%B0%20%E2%84%96%2079%20%28%D0%A1%D0%90%D0%97%2023-11%29" TargetMode="External"/><Relationship Id="rId25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6" Type="http://schemas.openxmlformats.org/officeDocument/2006/relationships/hyperlink" Target="documents/search/doc-link/?q=%D0%BE%D1%82%2026%20%D1%84%D0%B5%D0%B2%D1%80%D0%B0%D0%BB%D1%8F%20%0A2024%20%D0%B3%D0%BE%D0%B4%D0%B0%20%E2%84%96%20104%20%28%D0%A1%D0%90%D0%97%2024-10%29" TargetMode="External"/><Relationship Id="rId27" Type="http://schemas.openxmlformats.org/officeDocument/2006/relationships/hyperlink" Target="documents/search/doc-link/?q=%D0%BE%D1%82%2014%20%D0%BC%D0%B0%D1%8F%202024%20%D0%B3%D0%BE%D0%B4%D0%B0%20%E2%84%96%20218%20%28%D0%A1%D0%90%D0%97%2024-21%29" TargetMode="External"/><Relationship Id="rId28" Type="http://schemas.openxmlformats.org/officeDocument/2006/relationships/hyperlink" Target="documents/search/doc-link/?q=%D0%BE%D1%82%2017%20%D0%B0%D0%BF%D1%80%D0%B5%D0%BB%D1%8F%202013%20%D0%B3%D0%BE%D0%B4%D0%B0%20%E2%84%96%201" TargetMode="External"/><Relationship Id="rId29" Type="http://schemas.openxmlformats.org/officeDocument/2006/relationships/hyperlink" Target="documents/search/doc-link/?q=%D0%BE%D1%82%2016%20%D1%81%D0%B5%D0%BD%D1%82%D1%8F%D0%B1%D1%80%D1%8F%202024%20%D0%B3%D0%BE%D0%B4%D0%B0%20%E2%84%96%2040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1978</Words>
  <Characters>12706</Characters>
  <CharactersWithSpaces>14057</CharactersWithSpaces>
  <Paragraphs>735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