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изменения и дополнения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паевом сборе»</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7 февраля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19 сентября 2013 года № 186-З-V «О паевом сборе» (САЗ 13-37)</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28 сентября 2013 года № 198-ЗД-V (САЗ 13-38,1)</w:t>
        </w:r>
      </w:hyperlink>
      <w:r>
        <w:rPr>
          <w:rFonts w:ascii="times new roman;times" w:hAnsi="times new roman;times"/>
          <w:sz w:val="24"/>
        </w:rPr>
        <w:t xml:space="preserve">; </w:t>
      </w:r>
      <w:r>
        <w:rPr/>
        <w:t xml:space="preserve">
</w:t>
      </w:r>
      <w:hyperlink r:id="rId7">
        <w:r>
          <w:rPr>
            <w:rFonts w:ascii="times new roman;times" w:hAnsi="times new roman;times"/>
            <w:sz w:val="24"/>
            <w:color w:val="0563C1"/>
            <w:u w:val="single"/>
          </w:rPr>
          <w:t xml:space="preserve">от 14 апреля 2015 года № 61-ЗИД-V (САЗ 15-16)</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5 марта 2016 года 
№ 47-ЗИ-VI (САЗ 16-9)</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31 июля 2019 года № 161-ЗИД-VI (САЗ 19-29)</w:t>
        </w:r>
      </w:hyperlink>
      <w:r>
        <w:rPr>
          <w:rFonts w:ascii="times new roman;times" w:hAnsi="times new roman;times"/>
          <w:sz w:val="24"/>
        </w:rPr>
        <w:t xml:space="preserve">; </w:t>
      </w:r>
      <w:r>
        <w:rPr/>
        <w:t xml:space="preserve">
</w:t>
      </w:r>
      <w:hyperlink r:id="rId10">
        <w:r>
          <w:rPr>
            <w:rFonts w:ascii="times new roman;times" w:hAnsi="times new roman;times"/>
            <w:sz w:val="24"/>
            <w:color w:val="0563C1"/>
            <w:u w:val="single"/>
          </w:rPr>
          <w:t xml:space="preserve">от 28 июля 2022 года № 210-ЗИ-VII (САЗ 22-29)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 февраля 2023 года 
№ 12-ЗД-VII (САЗ 23-5)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27 сентября 2023 года № 281-ЗИ-VII 
(САЗ 23-39,1)</w:t>
        </w:r>
      </w:hyperlink>
      <w:r>
        <w:rPr>
          <w:rFonts w:ascii="times new roman;times" w:hAnsi="times new roman;times"/>
          <w:sz w:val="24"/>
        </w:rPr>
        <w:t xml:space="preserve">, следующие изменение и дополнение.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в) статьи 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организации и физические лица (в том числе индивидуальные предприниматели) – за предоставленные в пользование (в том числе аренду) земельные участки, нарушенные в процессе недропользования и иных видов работ, связанных с нарушением почвенного покрова, и требующие проведения рекультивации в целях вовлечения их в сельскохозяйственный оборот или иную деятельность  (далее – земельные участки, требующие проведения рекультивации), на 7 (семь) лет пользования с месяца, следующего за месяцем предоставления налогоплательщиком документа обследования земельного участка, требующего проведения рекультивации.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реализации настоящего подпункта под земельными участками, требующими проведения рекультивации, понимаются земельные участки, ранее используемые с целью недропользования и осуществления иных видов работ, связанных с нарушением почвенного покрова, на которых прежним землепользователем не была проведена рекультивация.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обследования земельного участка, в котором отражаются: характеристика земельного участка, виды рекультивации, мероприятия, которые необходимо провести, площадь нарушенных земель, срок проведения работ, –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контроля (надзора) в области земельных правоотношений (далее по тексту статьи –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невыполнении хозяйствующим субъектом мероприятий, установленных в документе обследования земельного участка, уполномоченный орган предоставляет в налоговые органы информацию о неисполнении условий, предусмотренных вышеназванным документом.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указанной информации налоговые органы производят доначисление паевого сбора, штрафных и финансовых санкций за весь период пользования предоставленной льготой пропорционально площади земель, на которых не исполнены работы по рекультивации».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5 дополнить подпунктом в-2)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«в-2) организации и физические лица (в том числе индивидуальные предприниматели) – за предоставленные в пользование (в том числе аренду) земельные участки из числа земель сельскохозяйственного назначения и (или) из числа земель населенных пунктов, предоставленных для сельскохозяйственных целей, требующие проведения культуртехнических мероприятий, направленных на восстановление продуктивности и хозяйственной ценности нарушенных земель, в целях их вовлечения в сельскохозяйственный оборот или иную деятельность, на 3 (три) года пользования с месяца, следующего за месяцем предоставления документа, подтверждающего проведение культуртехнических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реализации настоящего подпункта под землями, требующими проведения культуртехнических мероприятий, понимаются земли, на которых расположены объекты капитального строительства, требующие демонтажа (снесения), в том числе демонтажа (снесения) отдельных конструкций, а также земельные участки, на которых требуются проведение расчистки, выравнивания, удаление древесно-кустарниковой поросли, рыхление, пескование, глинование, землевание, плантаж, первичная обработка почвы и иные культуртехнические мероприятия.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подтверждающий проведение культуртехнических мероприятий, утверждается уполномоченным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Землепользователь предоставляет в налоговые органы документ, подтверждающий проведение культуртехнических мероприятий, не позднее 30 декабря финансового года, в котором утвержден данный документ.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налогоплательщик в установленные сроки не предоставил в налоговые органы документ, подтверждающий проведение культуртехнических мероприятий, льгота, предусмотренная настоящим подпунктом, предоставляется с месяца, следующего за месяцем предоставления вышеуказанного документа, а период предоставления льготы подлежит уменьшению на срок несвоевременного предоставления подтверждающего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Налогоплательщик вправе воспользоваться льготой, установленной настоящим подпунктом, за весь земельный участок или за его часть. Льгота по паевому сбору за земельные участки, требующие проведения культуртехнических мероприятий, предоставляется пропорционально площади земельного участка, приведенного в состояние, пригодное к использованию в сельскохозяйственном производстве или иной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20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26-ЗИД-VII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1%81%D0%B5%D0%BD%D1%82%D1%8F%D0%B1%D1%80%D1%8F%202013%20%D0%B3%D0%BE%D0%B4%D0%B0%20%E2%84%96%20186-%D0%97-V%20%C2%AB%D0%9E%20%D0%BF%D0%B0%D0%B5%D0%B2%D0%BE%D0%BC%20%D1%81%D0%B1%D0%BE%D1%80%D0%B5%C2%BB%20%28%D0%A1%D0%90%D0%97%2013-37%29" TargetMode="External"/><Relationship Id="rId6" Type="http://schemas.openxmlformats.org/officeDocument/2006/relationships/hyperlink" Target="documents/search/doc-link/?q=%D0%BE%D1%82%2028%20%D1%81%D0%B5%D0%BD%D1%82%D1%8F%D0%B1%D1%80%D1%8F%202013%20%D0%B3%D0%BE%D0%B4%D0%B0%20%E2%84%96%20198-%D0%97%D0%94-V%20%28%D0%A1%D0%90%D0%97%2013-38%2C1%29" TargetMode="External"/><Relationship Id="rId7" Type="http://schemas.openxmlformats.org/officeDocument/2006/relationships/hyperlink" Target="documents/search/doc-link/?q=%D0%BE%D1%82%2014%20%D0%B0%D0%BF%D1%80%D0%B5%D0%BB%D1%8F%202015%20%D0%B3%D0%BE%D0%B4%D0%B0%20%E2%84%96%2061-%D0%97%D0%98%D0%94-V%20%28%D0%A1%D0%90%D0%97%2015-16%29" TargetMode="External"/><Relationship Id="rId8" Type="http://schemas.openxmlformats.org/officeDocument/2006/relationships/hyperlink" Target="documents/search/doc-link/?q=%D0%BE%D1%82%205%20%D0%BC%D0%B0%D1%80%D1%82%D0%B0%202016%20%D0%B3%D0%BE%D0%B4%D0%B0%20%0A%E2%84%96%2047-%D0%97%D0%98-VI%20%28%D0%A1%D0%90%D0%97%2016-9%29" TargetMode="External"/><Relationship Id="rId9" Type="http://schemas.openxmlformats.org/officeDocument/2006/relationships/hyperlink" Target="documents/search/doc-link/?q=%D0%BE%D1%82%2031%20%D0%B8%D1%8E%D0%BB%D1%8F%202019%20%D0%B3%D0%BE%D0%B4%D0%B0%20%E2%84%96%20161-%D0%97%D0%98%D0%94-VI%20%28%D0%A1%D0%90%D0%97%2019-29%29" TargetMode="External"/><Relationship Id="rId10" Type="http://schemas.openxmlformats.org/officeDocument/2006/relationships/hyperlink" Target="documents/search/doc-link/?q=%D0%BE%D1%82%2028%20%D0%B8%D1%8E%D0%BB%D1%8F%202022%20%D0%B3%D0%BE%D0%B4%D0%B0%20%E2%84%96%20210-%D0%97%D0%98-VII%20%28%D0%A1%D0%90%D0%97%2022-29%29" TargetMode="External"/><Relationship Id="rId11" Type="http://schemas.openxmlformats.org/officeDocument/2006/relationships/hyperlink" Target="documents/search/doc-link/?q=%D0%BE%D1%82%201%20%D1%84%D0%B5%D0%B2%D1%80%D0%B0%D0%BB%D1%8F%202023%20%D0%B3%D0%BE%D0%B4%D0%B0%20%0A%E2%84%96%2012-%D0%97%D0%94-VII%20%28%D0%A1%D0%90%D0%97%2023-5%29" TargetMode="External"/><Relationship Id="rId12" Type="http://schemas.openxmlformats.org/officeDocument/2006/relationships/hyperlink" Target="documents/search/doc-link/?q=%D0%BE%D1%82%2027%20%D1%81%D0%B5%D0%BD%D1%82%D1%8F%D0%B1%D1%80%D1%8F%202023%20%D0%B3%D0%BE%D0%B4%D0%B0%20%E2%84%96%20281-%D0%97%D0%98-VII%20%0A%28%D0%A1%D0%90%D0%97%2023-39%2C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624</Words>
  <Characters>4706</Characters>
  <CharactersWithSpaces>5375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