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3202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Об утверждении отчета об исполнении государственной целевой программы «Переоснащение служебного автотранспорта пожарной охраны» на 2023–2031 годы за 2023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год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отчет об исполнении государственной целевой программы «Переоснащение служебного автотранспорта пожарной охраны»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на 2023–2031 годы за 2023 год, представленный к рассмотрению Правительством Приднестровской Молдавской Республики (письмо Председателя Правительства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2024 года № 01-52/44</w:t>
        </w:r>
      </w:hyperlink>
      <w:r>
        <w:rPr>
          <w:rFonts w:ascii="times new roman;times" w:hAnsi="times new roman;times"/>
          <w:sz w:val="24"/>
        </w:rPr>
        <w:t xml:space="preserve">) в соответствии с пунктом 5 статьи 16-1 Закона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Государственная целевая программа «Переоснащение служебного автотранспорта пожарной охраны» на 2023–2031 годы (далее – Государственная программа) утверждена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 года № 181-З-VI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«Переоснащение служебного автотранспорта пожарной охраны» на 2023–2031 годы».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данным Законом основными целями Государственной программы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обеспечение пожарной безопасности в Приднестровской Молдавской Республике с применением современных технологий;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улучшение материально-технической базы уполномоченного органа.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Согласно Государственной программе на 2023 год планировалось выделить 16 530 000 рублей на покупку 7 автомобилей.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данными предоставленного отчета, в рамках планирования мероприятий по реализации Государственной программы, исполнительным органом государственной власти, в ведении которого находятся вопросы пожарной безопасности (далее уполномоченный орган), были заключены и профинансированы контракты на общую сумму в 16 473 500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Мероприятия Государственной целевой программы в 2023 году были исполнены в полном объёме, в частности, было закуплено: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5 (пять) автоцистерн пожарных 5.0-40 на сумму 10 325 000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1 (один) автомобиль экстренного реагирования на сумму </w:t>
      </w:r>
      <w:r>
        <w:rPr/>
        <w:br/>
      </w:r>
      <w:r>
        <w:rPr>
          <w:rFonts w:ascii="times new roman;times" w:hAnsi="times new roman;times"/>
          <w:sz w:val="24"/>
        </w:rPr>
        <w:t>1 290 000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1 (одна) автолестница пожарная АЛ-32 на сумму 4 858 500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Вместе с тем, ввиду того, что закупки проводились посредством конкурентного аукциона, сформировался остаток неиспользованных лимитов (экономия) в размере 56 500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На основании вышеизложенного, руководствуясь пунктом 21 главы 8 Приложения к Закону «Об утверждении государственной целевой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программы «Переоснащение служебного автотранспорта пожарной охраны» на 2023–2031 годы», пунктом 4 статьи 100 Регламента Верховного </w:t>
      </w:r>
      <w:r>
        <w:rPr/>
        <w:br/>
      </w:r>
      <w:r>
        <w:rPr>
          <w:rFonts w:ascii="times new roman;times" w:hAnsi="times new roman;times"/>
          <w:sz w:val="24"/>
        </w:rPr>
        <w:t xml:space="preserve">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</w:rPr>
        <w:t> </w:t>
      </w:r>
      <w:r>
        <w:rPr>
          <w:rFonts w:ascii="times new roman;times" w:hAnsi="times new roman;times"/>
          <w:sz w:val="24"/>
        </w:rPr>
        <w:t>1. Утвердить отчет об исполнении государственной целевой программы «Переоснащение служебного автотранспорта пожарной охраны» на 2023–2031 годы за 2023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«1»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3202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0%D1%82%D0%B0%202024%20%D0%B3%D0%BE%D0%B4%D0%B0%20%E2%84%96%2001-52/44" TargetMode="External"/><Relationship Id="rId6" Type="http://schemas.openxmlformats.org/officeDocument/2006/relationships/hyperlink" Target="documents/search/doc-link/?q=%D0%BE%D1%82%204%20%D0%BD%D0%BE%D1%8F%D0%B1%D1%80%D1%8F%202020%20%D0%B3%D0%BE%D0%B4%D0%B0%20%E2%84%96%20181-%D0%97-V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384</Words>
  <Characters>2740</Characters>
  <CharactersWithSpaces>3158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