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ПОСТАНОВЛЕНИЕ № 3201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  <w:r>
        <w:rPr>
          <w:rStyle w:val="Emphasis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26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Об утверждении отчета об исполнении Государственной программы развития минерально-сырьевой базы, рационального и комплексного использования минеральных ресурсов и охраны недр Приднестровской Молдавской Республики на 2022–2026 годы за 2023 год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Рассмотрев отчет об исполнении Государственной программы развития минерально-сырьевой базы, рационального и комплексного использования минеральных ресурсов и охраны недр Приднестровской Молдавской Республики на 2022–2026 годы за 2023 год, представленный к рассмотрению Правительством Приднестровской Молдавской Республики (исх. № 01-52/44 от 15 марта 2024 года) в соответствии с пунктом 5 статьи 16-1 Закона Приднестровской Молдавской Республики «О бюджетной системе в Приднестровской Молдавской Республике», Верховный Совет Приднестровской Молдавской Республики отмечает следующее.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Государственная программа развития минерально-сырьевой базы, рационального и комплексного использования минеральных ресурсов и охраны недр Приднестровской Молдавской Республики на 2022–2026 годы (далее по тексту – Программа) утверждена Законом Приднестровской Молдавской Республики «Об утверждении Государственной программы развития минерально-сырьевой базы, рационального и комплексного использования минеральных ресурсов и охраны недр Приднестровской Молдавской Республики на 2022–2026 годы» в целях обеспечения возможности функционирования эффективного сектора, осуществляющего деятельность, направленную на расширение и качественное улучшение минерально-сырьевой базы, определение темпов воспроизводства и стратегии использования минеральных ресурсов, охрану недр и защиту окружающей природной среды.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Программа предусматривает решение следующих задач: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мониторинг режима подземных вод;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разработка и реализация мероприятий по рациональному использованию подземных вод, их защиты от истощения и загрязнения;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мониторинг развития экзогенных геологических процессов;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разработка и реализация мероприятий, направленных на минимизацию негативного воздействия экзогенных геологических процессов;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разведка месторождений полезных ископаемых и обеспечение государственных потребностей в минерально-сырьевых ресурсах;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обеспечение технического оснащения государственного унитарного предприятия, осуществляющего деятельность в сфере развития минерально-сырьевого комплекса.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В 2023 году за счет средств республиканского бюджета на реализацию мероприятий по Программе в соответствии с Приложением № 2.17 к Закону Приднестровской Молдавской Республики «О республиканском бюджете на 2023 год» выделено финансирование на сумму 3 725 947 рублей (из них – 2 560 220 рублей на закупку оборудования).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соответствии с запланированными мероприятиями согласно Программе в 2023 году выполнены следующие виды работ: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а) изучение режима и элементов баланса подземных вод на территории Приднестровской Молдавской Республики с последующей разработкой планов мероприятий и рекомендательных предложений по обеспечению сохранности и предотвращению истощения подземных вод: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пробурены 2 (две) наблюдательные скважины в Дубоссарском районе у села Дойбаны: (скважина № 311 глубиной 34 метра, и скважина № 312 глубиной 120 метров);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2) выполнена чистка 2 (двух) наблюдательных скважин в Слободзейском районе и 1 (одной) наблюдательной скважины в </w:t>
      </w:r>
      <w:r>
        <w:rPr/>
        <w:br/>
      </w:r>
      <w:r>
        <w:rPr>
          <w:rFonts w:ascii="times new roman;times" w:hAnsi="times new roman;times"/>
          <w:sz w:val="24"/>
        </w:rPr>
        <w:t>городе Тирасполе;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3) произведены замеры уровня воды в скважинах всех типов режима общим объемом 1584 (одна тысяча пятьсот восемьдесят четыре) замера по </w:t>
      </w:r>
      <w:r>
        <w:rPr/>
        <w:br/>
      </w:r>
      <w:r>
        <w:rPr>
          <w:rFonts w:ascii="times new roman;times" w:hAnsi="times new roman;times"/>
          <w:sz w:val="24"/>
        </w:rPr>
        <w:t>73 (семидесяти трем) скважинам режимной сети;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произведены совместные замеры уровней и температуры воды общим объемом 168 (сто шестьдесят восемь) замеров по 7 (семи) скважинам режимной сети;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5) выполнены 4 (четыре) маршрутных объезда режимной сети для контроля качества выполнения замеров наблюдателями, в результате которых выполнены 292 (двести девяносто два) контрольных замера уровней воды и </w:t>
      </w:r>
      <w:r>
        <w:rPr/>
        <w:br/>
      </w:r>
      <w:r>
        <w:rPr>
          <w:rFonts w:ascii="times new roman;times" w:hAnsi="times new roman;times"/>
          <w:sz w:val="24"/>
        </w:rPr>
        <w:t>2 (две) инспекторские проверки состояния скважин режимной сети;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 отобрано 23 (двадцать три) пробы воды на сокращенный химический анализ;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7) построено 16 (шестнадцать) интегральных кривых для анализа динамики уровня воды и химического состава подземных вод для составления итогового пятилетнего отчета;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8) составлен прогноз уровней грунтовых вод.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результате проведенных работ на основании данных сокращенного химического анализа отобранных проб воды установлено ухудшение качественных показателей грунтовых вод первого от поверхности водоносного горизонта (воды четвертичных отложений), а качественные показатели межпластовых подземных вод, являющихся источниками централизованного водоснабжения, остаются стабильными.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Повышение уровней грунтовых вод слабонарушенного режима наблюдалось весной (в апреле–мае). В большинстве наблюдательных скважин нарушенного типа, эксплуатирующих нижне-среднесарматский водоносный комплекс, отмечалось снижение уровенной поверхности, а в весенне-летние месяцы – их повышение; незначительное понижение уровней вновь фиксировалось со второй половины года. Колебания уровней подземных вод коррелируются в зависимости от режима эксплуатации действующих водозаборов.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Фактические расходы на проведение работ по объекту «Изучение режима и элементов баланса подземных вод на территории Приднестровской Молдавской Республики с последующей разработкой планов мероприятий и рекомендательных предложений по обеспечению сохранности и предотвращению истощения подземных вод» составили 442 494 рубля, процент выполнения составил 91,17;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б) определение и исследование источников загрязнения подземных вод и меры по их защите от загрязнения: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комплекс полевых гидрогеологических работ по исследованию и предотвращению загрязнения подземных вод в границах размещения и захоронения твёрдых бытовых отходов и иных источников загрязнения: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обследовано 13 (тринадцать) объектов твердых бытовых отходов близ населенных пунктов: село Малаешты, село Парканы, город Григориополь, поселок Карманово, село Гыртоп, поселок Маяк, село Глиное, село Колосово, село Шипка, село Виноградное, село Спея, село Тея, село Токмазея;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составлена карта фактического материала;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отобрано 3 (три) пробы воды на лабораторные исследования;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комплекс работ по поиску и учету нуждающихся в ликвидационных мероприятиях, неиспользуемых по целевому назначению, бытовых колодцев, расположенных в населенных пунктах и хозяйствах республики: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изучены и описаны 99 (девяносто девять) колодцев;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измерен уровень воды в 99 (девяносто девяти) колодцах;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отобрано 6 (шесть) проб воды на сокращенный химический анализ;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дополнен кадастр источников грунтовых вод по колодцам;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составлена карта фактического материала.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Взято на учет 30 (тридцать) шахтных колодцев, подлежащих ликвидации в целях защиты грунтовых вод от дальнейшего загрязнения;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комплекс работ, связанных с ликвидационным тампонажем скважин, в 2023 году не проводился.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Фактические расходы на проведение работ по объекту «Определение и исследование источников загрязнения подземных вод и меры по их защите от загрязнения» составили 111 068 рублей, процент выполнения составил </w:t>
      </w:r>
      <w:r>
        <w:rPr/>
        <w:br/>
      </w:r>
      <w:r>
        <w:rPr>
          <w:rFonts w:ascii="times new roman;times" w:hAnsi="times new roman;times"/>
          <w:sz w:val="24"/>
        </w:rPr>
        <w:t>50,49 вследствие исключения работ по ликвидации 2 (двух) скважин на общую сумму финансирования 103 590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в) мониторинг развития экзогенных геологических процессов на территории Приднестровской Молдавской Республики: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составлен краткосрочный прогноз развития оползневого процесса на территории республики на весенне-летний период 2023 года;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выполнен комплекс инженерно-геологических работ: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проведены повторные инженерно-геологические обследования оползней на 8 (восьми) опорных участках общей площадью 56,2 гектара и инженерно-геологические обследования на участке овражной эрозии площадью 0,15 гектара;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повторное обследование провала поверхностного грунта в </w:t>
      </w:r>
      <w:r>
        <w:rPr/>
        <w:br/>
      </w:r>
      <w:r>
        <w:rPr>
          <w:rFonts w:ascii="times new roman;times" w:hAnsi="times new roman;times"/>
          <w:sz w:val="24"/>
        </w:rPr>
        <w:t>селе Андреевка Рыбницкого района площадью 0,79 гектара;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выполнено 8 (восемь) маршрутных обследований оврагов в черте города Рыбницы и города Дубоссары, при этом обследовано 74 (семьдесят четыре) оврага;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вычерчен топоплан опорного участка «Боска-II» масштаба 1:1000;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выполнен комплекс топогеодезических работ: разбивочно-привязочные работы на 7 (семи) опорных участках оползней по 52 (пятидесяти двум) точкам наблюдений, пополнена тахеометрическая съемка и топоплан на участке овражной эрозии масштаба 1:500, площадью 0,015 квадратных километров (км</w:t>
      </w:r>
      <w:r>
        <w:rPr>
          <w:rFonts w:ascii="times new roman;times" w:hAnsi="times new roman;times"/>
          <w:position w:val="8"/>
          <w:sz w:val="19"/>
          <w:sz w:val="24"/>
        </w:rPr>
        <w:t>2</w:t>
      </w:r>
      <w:r>
        <w:rPr>
          <w:rFonts w:ascii="times new roman;times" w:hAnsi="times new roman;times"/>
          <w:sz w:val="24"/>
        </w:rPr>
        <w:t>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выполнен комплекс гидрогеологических работ: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осуществлено 120 (сто двадцать) замеров уровней водоносных горизонтов по 5 (пяти) наблюдательным скважинам на 3 (трех) оползневых участках;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проведены 2 (две) инспекторские проверки состояния наблюдательной сети гидрогеологических скважин и контроль качества выполнения замеров наблюдателями;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отобрано 3 (три) пробы на сокращенный химический анализ для изучения качественного состава воды на опорном оползневом участке «Малая Ульма». В результате повышения стоимости сокращенного химического анализа воды в 2023 году в пределах сумм финансирования выполнено </w:t>
      </w:r>
      <w:r>
        <w:rPr/>
        <w:br/>
      </w:r>
      <w:r>
        <w:rPr>
          <w:rFonts w:ascii="times new roman;times" w:hAnsi="times new roman;times"/>
          <w:sz w:val="24"/>
        </w:rPr>
        <w:t>3 (три) сокращенных химических анализа вместо 5 (пяти) запланированных.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Полевые обследования опорных оползневых участков подтвердили активизацию оползневого процесса на стабильно активном участке «Боска II» Дубоссарского района. Топогеодезические измерения также зафиксировали изменения положений точек наблюдений в плановом и высотном отношении на оползневом участке «Боска–II».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остальных участках наблюдательной сети оползневая активность или отсутствовала («Малая Ульма», «Новокомиссаровка», «Мочаровка»), или присутствовала в незначительных проявлениях («Новая Лунга») и крайне незначительных проявлениях («Грушка II», «Дубово», «Боска»).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Гидрогеологические наблюдения в скважинах на опорных оползневых участках за отчетный период в целом показали понижение водоносных горизонтов, как четвертичных, так и сарматских отложений. Воды относятся к классу гидрокарбонатных магниево-натриевых. По минеральному составу наблюдается повышенное содержание Fe (железа) и NO</w:t>
      </w:r>
      <w:r>
        <w:rPr>
          <w:rFonts w:ascii="times new roman;times" w:hAnsi="times new roman;times"/>
          <w:position w:val="-2"/>
          <w:sz w:val="19"/>
          <w:sz w:val="24"/>
        </w:rPr>
        <w:t>3</w:t>
      </w:r>
      <w:r>
        <w:rPr>
          <w:rFonts w:ascii="times new roman;times" w:hAnsi="times new roman;times"/>
          <w:sz w:val="24"/>
        </w:rPr>
        <w:t xml:space="preserve"> (нитратов).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результатам обследования овражной сети в черте города Рыбницы установлено, что подавляющее большинство оврагов, прилегающих к частному сектору или гаражным кооперативам, используются в качестве свалки бытовых отходов. Ряд оврагов может представлять угрозу жилому и хозяйственному сектору.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Запланированные работы выполнены в полном объеме.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Фактические расходы на проведение работ по объекту </w:t>
      </w:r>
      <w:r>
        <w:rPr>
          <w:rStyle w:val="Strong"/>
          <w:rFonts w:ascii="times new roman;times" w:hAnsi="times new roman;times"/>
          <w:sz w:val="24"/>
        </w:rPr>
        <w:t>«</w:t>
      </w:r>
      <w:r>
        <w:rPr>
          <w:rFonts w:ascii="times new roman;times" w:hAnsi="times new roman;times"/>
          <w:sz w:val="24"/>
        </w:rPr>
        <w:t>Мониторинг развития экзогенных геологических процессов на территории Приднестровской Молдавской Республики» составили 205 465 рублей, процент выполнения составил 99,47;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г) разведка месторождений песка и песчано-гравийных пород на территории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Выполнен комплекс полевых геологоразведочных работ на участке «Новая Александровка» в Дубоссарском районе.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Фактические расходы на проведение работ по объекту «Разведка месторождений песка и песчано-гравийных пород на территории Приднестровской Молдавской Республики» составили 55 573 рубля, процент выполнения – 90,15;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бурение разведочно-эксплуатационных скважин в районах недостаточной изученности в населенных пунктах, остро нуждающихся в питьевой воде.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Запланированные работы выполнены в полном объеме. Фактические затраты по объекту «Бурение разведочно-эксплуатационных скважин в районах недостаточной изученности в населенных пунктах, остро нуждающихся в питьевой воде» составили 184 230 рублей, процент выполнения составил 95,84;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е) техническое оснащение профильной организации: приобретение буровой установки с комплектом бурового оборудования.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пределах объемов финансирования мероприятий Государственной программы в соответствии с Приложением № 2.17 к Закону Приднестровской Молдавской Республики «О республиканском бюджете на 2023 год» на приобретение буровой установки с комплектом бурового инструмента предусмотрено финансирование в размере 2 560 220 рублей. Между тем указанная стоимость формировалась на основании коммерческого предложения единственного российского завода-изготовителя буровых установок ПК «Прайд» и соответствовала уровню цен по состоянию на июль </w:t>
      </w:r>
      <w:r>
        <w:rPr/>
        <w:br/>
      </w:r>
      <w:r>
        <w:rPr>
          <w:rFonts w:ascii="times new roman;times" w:hAnsi="times new roman;times"/>
          <w:sz w:val="24"/>
        </w:rPr>
        <w:t>2021 года, при подготовке проекта закона Приднестровской Молдавской Республики «Об утвержденииГосударственной программы развития минерально-сырьевой базы, рационального и комплексного использования минеральных ресурсов и охраны недр Приднестровской Молдавской Республики на 2022–2026 годы».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силу того, что динамика экономических связей Приднестровской Молдавской Республики во многом зависит от влияния внешних геополитических факторов, таким образом, в связи с изменением внешнеполитической ситуации с марта 2022 года стоимость шасси на базе КАМАЗ для буровой установки и стоимость буровой установки с комплектом инструмента увеличились в 2,5-3 раза.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основании вышеизложенного запланированные мероприятия по закупке буровой установки с комплектом бурового инструмента выполнены не были, таким образом, фактические затраты по объекту «Техническое оснащение профильной организации» составили 0 рублей ПМР, процент выполнения составил 0.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 xml:space="preserve">На основании вышеизложенного, в соответствии с частью второй раздела 7 Приложения к Закону Приднестровской Молдавской Республики Молдавской Республики «Об утверждении Государственной программы развития минерально-сырьевой базы, рационального и комплексного использования минеральных ресурсов и охраны недр Приднестровской Молдавской Республики на 2022–2026 годы», руководствуясь пунктом 4 статьи 100 Регламента Верховного Совета Приднестровской Молдавской Республики,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>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1. Утвердить отчет об исполнении Государственной программы развития минерально-сырьевой базы, рационального и комплексного использования минеральных ресурсов и охраны недр Приднестровской Молдавской Республики на 2022–2026 годы за 2023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2. Настоящее Постановление вступает в силу со дня подписания и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         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«1»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3201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1676</Words>
  <Characters>12205</Characters>
  <CharactersWithSpaces>13873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