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61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31.08.14 Детская онкология»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10848 от 26 февраля 2022 года) (САЗ 22-7)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12477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61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31.08.14 Детская онкология»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10848 от 26 февраля 2022 года) (САЗ 22-7)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461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1%8F%D0%BD%D0%B2%D0%B0%D1%80%D1%8F%202022%20%D0%B3%D0%BE%D0%B4%D0%B0%20%E2%84%96%2061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14%20%D0%94%D0%B5%D1%82%D1%81%D0%BA%D0%B0%D1%8F%20%D0%BE%D0%BD%D0%BA%D0%BE%D0%BB%D0%BE%D0%B3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576</Words>
  <Characters>3577</Characters>
  <CharactersWithSpaces>4195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