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3198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целевой программы восстановления и развития мелиоративного комплекса Приднестровской Молдавской Республики на 2022–2026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восстановления и развития мелиоративного комплекса Приднестровской Молдавской Республики на 2022–2026 годы за 2023 год, представленный 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 01-52/44</w:t>
        </w:r>
      </w:hyperlink>
      <w:r>
        <w:rPr>
          <w:rFonts w:ascii="times new roman;times" w:hAnsi="times new roman;times"/>
          <w:sz w:val="24"/>
        </w:rPr>
        <w:t xml:space="preserve">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Государственная целевая программа восстановления и развития мелиоративного комплекса Приднестровской Молдавской Республики на 2022–2026 годы (далее по тексту – Программа) утверждена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13-З-VII «Об утверждении государственной целевой программы восстановления и развития мелиоративного комплекса Приднестровской Молдавской Республики на 2022–2026 годы» (САЗ 22-1)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Основные мероприятия Программы направлены на проведение работ </w:t>
      </w:r>
      <w:r>
        <w:rPr/>
        <w:br/>
      </w:r>
      <w:r>
        <w:rPr>
          <w:rFonts w:ascii="times new roman;times" w:hAnsi="times new roman;times"/>
          <w:sz w:val="24"/>
        </w:rPr>
        <w:t xml:space="preserve">по восстановлению и реконструкции объектов мелиоративного комплекса Приднестровской Молдавской Республики, включая мероприятия </w:t>
      </w:r>
      <w:r>
        <w:rPr/>
        <w:br/>
      </w:r>
      <w:r>
        <w:rPr>
          <w:rFonts w:ascii="times new roman;times" w:hAnsi="times new roman;times"/>
          <w:sz w:val="24"/>
        </w:rPr>
        <w:t>по приобретению оборудования и материалов для осуществления указанных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Согласно Плану мероприятий по ремонтно-восстановительным работам объектов мелиоративного комплекса, утвержденному Приложением </w:t>
      </w:r>
      <w:r>
        <w:rPr/>
        <w:br/>
      </w:r>
      <w:r>
        <w:rPr>
          <w:rFonts w:ascii="times new roman;times" w:hAnsi="times new roman;times"/>
          <w:sz w:val="24"/>
        </w:rPr>
        <w:t>к Программе, на 2023 год были запланированы ремонтно-восстановительные работы по 7 (семи) мелиоративным объектам с общей суммой финансирования 71 675 000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Источником финансирования мероприятий Программы определен Фонд развития мелиоративного комплекса Приднестровской Молдавской Республики (далее по тексту – Фонд), в объемах бюджетного финансирования сметы доходов и расходов Фонда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Согласно основным характеристикам Фонда, утвержденным Приложением № 2.6 к Закону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 республиканском бюджете на 2023 год», в текущей редакции на осуществление поддержки мелиоративного комплекса были предусмотрены расходы по трем направлениям: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ремонт объектов государственной мелиоративной системы, находящихся на балансе ГУП «Республиканские оросительные системы»;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приобретение техники и оборудования для ремонта и обслуживания объектов государственной мелиоративной системы, находящихся на балансе ГУП «Республиканские оросительные системы»;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финансирование компенсации государственной поддержки сельскохозяйственным товаропроизводителям ГУП «Республиканские оросительные системы».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из средств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на ремонт объектов государственной мелиоративной системы, находящихся на балансе ГУП «Республиканские оросительные системы», согласно утвержденному лимиту в сумме 14 229 184 рублябыло заключено </w:t>
      </w:r>
      <w:r>
        <w:rPr/>
        <w:br/>
      </w:r>
      <w:r>
        <w:rPr>
          <w:rFonts w:ascii="times new roman;times" w:hAnsi="times new roman;times"/>
          <w:sz w:val="24"/>
        </w:rPr>
        <w:t>25 контрактов и выполнены работы на сумму 13 804 562,86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б)на приобретение техники и оборудования для ремонта объектов государственной мелиоративной системы, находящихся на балансе </w:t>
      </w:r>
      <w:r>
        <w:rPr/>
        <w:br/>
      </w:r>
      <w:r>
        <w:rPr>
          <w:rFonts w:ascii="times new roman;times" w:hAnsi="times new roman;times"/>
          <w:sz w:val="24"/>
        </w:rPr>
        <w:t>ГУП «Республиканские оросительные системы», согласно утвержденному лимиту финансирования в сумме 12 407 005 рублей заключено 9 контрактов. Мероприятия реализованы на сумму 12 388 217,64 рубля. Все запланированные мероприятия выполнены.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сметой расходования средств Фонда в 2023 году на осуществление поддержки мелиоративного комплекса для обеспечения безаварийной работы объектов государственной мелиоративной системы </w:t>
      </w:r>
      <w:r>
        <w:rPr/>
        <w:br/>
      </w:r>
      <w:r>
        <w:rPr>
          <w:rFonts w:ascii="times new roman;times" w:hAnsi="times new roman;times"/>
          <w:sz w:val="24"/>
        </w:rPr>
        <w:t xml:space="preserve">был произведен ремонт трансформаторных подстанций на сумму </w:t>
      </w:r>
      <w:r>
        <w:rPr/>
        <w:br/>
      </w:r>
      <w:r>
        <w:rPr>
          <w:rFonts w:ascii="times new roman;times" w:hAnsi="times new roman;times"/>
          <w:sz w:val="24"/>
        </w:rPr>
        <w:t xml:space="preserve">2 360 103,86 рубля, а также были проведены ремонтно-восстановительные работы на 12 (двенадцати) объектах (ГНС «Бычок» Слободзейского филиала, </w:t>
      </w:r>
      <w:r>
        <w:rPr/>
        <w:br/>
      </w:r>
      <w:r>
        <w:rPr>
          <w:rFonts w:ascii="times new roman;times" w:hAnsi="times new roman;times"/>
          <w:sz w:val="24"/>
        </w:rPr>
        <w:t xml:space="preserve">ГНС «Чобручи» Слободзейского филиала, ГНС «Спея» Григориопольского филиала, ГНС «Ташлык» Григориопольского филиала, ГНС «Выхватинцы» Рыбницкого филиала, НСП-3А СОС Слободзейского филиала, НСП-3А </w:t>
      </w:r>
      <w:r>
        <w:rPr/>
        <w:br/>
      </w:r>
      <w:r>
        <w:rPr>
          <w:rFonts w:ascii="times new roman;times" w:hAnsi="times new roman;times"/>
          <w:sz w:val="24"/>
        </w:rPr>
        <w:t xml:space="preserve">остров Турунчук Слободзейкого филиала, НСП-15 Рыбницкого филиала, </w:t>
      </w:r>
      <w:r>
        <w:rPr/>
        <w:br/>
      </w:r>
      <w:r>
        <w:rPr>
          <w:rFonts w:ascii="times new roman;times" w:hAnsi="times new roman;times"/>
          <w:sz w:val="24"/>
        </w:rPr>
        <w:t xml:space="preserve">ПНС-3 Григориопольского орошаемого массива, НС-2 Спейской оросительной системы Григориопольского филиала, НСП-10 Григориопольского филиала, мастерские Дубоссарского эксплуатационного участка Григориопольского филиала) с суммой финансирования </w:t>
      </w:r>
      <w:r>
        <w:rPr/>
        <w:br/>
      </w:r>
      <w:r>
        <w:rPr>
          <w:rFonts w:ascii="times new roman;times" w:hAnsi="times new roman;times"/>
          <w:sz w:val="24"/>
        </w:rPr>
        <w:t>26 636 189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Фактически профинансировано 25 506 925,50 рубля, что составляет 95,8 процента от плановых показателей сметы Фонда.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этом в соответствии с Программой в 2023 году были определены </w:t>
      </w:r>
      <w:r>
        <w:rPr/>
        <w:br/>
      </w:r>
      <w:r>
        <w:rPr>
          <w:rFonts w:ascii="times new roman;times" w:hAnsi="times new roman;times"/>
          <w:sz w:val="24"/>
        </w:rPr>
        <w:t xml:space="preserve">7 (семь) объектов мелиоративного комплекса, на которых планировалось проведение восстановительных работ, из которых фактически только на </w:t>
      </w:r>
      <w:r>
        <w:rPr/>
        <w:br/>
      </w:r>
      <w:r>
        <w:rPr>
          <w:rFonts w:ascii="times new roman;times" w:hAnsi="times new roman;times"/>
          <w:sz w:val="24"/>
        </w:rPr>
        <w:t xml:space="preserve">3 (трех) объектах велись работы (ГНС «Чобручи», ПНС-3 Григориопольского орошаемого массива Слободзейского филиала, ГНС «Выхватинцы» Рыбницкого филиала). Остальные объекты, работы на которых проводились на основании сметы Фонда, не были поименованы в плане мероприятий Программы на 2023 год. В данной связи объем финансирования программных мероприятий по объектам, включенным в Программу на 2023 год, сложился </w:t>
      </w:r>
      <w:r>
        <w:rPr/>
        <w:br/>
      </w:r>
      <w:r>
        <w:rPr>
          <w:rFonts w:ascii="times new roman;times" w:hAnsi="times new roman;times"/>
          <w:sz w:val="24"/>
        </w:rPr>
        <w:t>в размере 35,6 процента;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 поддержку сельскохозяйственных товаропроизводителей </w:t>
      </w:r>
      <w:r>
        <w:rPr/>
        <w:br/>
      </w:r>
      <w:r>
        <w:rPr>
          <w:rFonts w:ascii="times new roman;times" w:hAnsi="times new roman;times"/>
          <w:sz w:val="24"/>
        </w:rPr>
        <w:t xml:space="preserve">по оплате потребленных услуг централизованного водоснабжения на цели </w:t>
      </w:r>
      <w:r>
        <w:rPr/>
        <w:br/>
      </w:r>
      <w:r>
        <w:rPr>
          <w:rFonts w:ascii="times new roman;times" w:hAnsi="times new roman;times"/>
          <w:sz w:val="24"/>
        </w:rPr>
        <w:t xml:space="preserve">орошения государственной мелиоративной системой, оказываемых </w:t>
      </w:r>
      <w:r>
        <w:rPr/>
        <w:br/>
      </w:r>
      <w:r>
        <w:rPr>
          <w:rFonts w:ascii="times new roman;times" w:hAnsi="times new roman;times"/>
          <w:sz w:val="24"/>
        </w:rPr>
        <w:t>ГУП «Республиканские оросительные системы», а именно на покрытие убытков ГУП, связанных с установлением тарифа на услуги на уровне, не обеспечивающем покрытие экономически обоснованных затрат и получение обоснованной прибыли (рентабельности), согласно утвержденному лимиту на период 2023 года запланирована сумма финансирования 47 600 000 рублей, фактически израсходовано 41 283 500 рублей,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 выплату заработной платы – 38 778 918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 оплату электроэнергии – 2 504 582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Реализация государственной целевой программы восстановления и развития мелиоративного комплекса Приднестровской Молдавской Республики в 2023 году способствовала: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предотвращению выбытия орошаемых площадей;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расширению орошаемой площади на 3 тысячи га за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повышению заинтересованности землепользователей в своевременном выполнении работ по текущему и капитальному ремонту внутрихозяйственных мелиоративных систем, а также повышению заинтересованности в приобретении оросительной техники;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развитию орошения за счет частных инвестиций;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получению гарантированного урожая основных сельскохозяйственных культур, в том числе за счет высокой урожайности.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На основании вышеизложенного, в соответствии с пунктом 35 главы 8 Приложения к Закону Приднестровской Молдавской Республики</w:t>
      </w:r>
      <w:r>
        <w:rPr>
          <w:rStyle w:val="Strong"/>
          <w:rFonts w:ascii="times new roman;times" w:hAnsi="times new roman;times"/>
          <w:sz w:val="24"/>
        </w:rPr>
        <w:t xml:space="preserve"> </w:t>
        <w:br/>
      </w: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восстановления и развития мелиоративного комплекса Приднестровской Молдавской Республики на 2022–2026 годы»,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об исполнении государственной целевой программы восстановления и развития мелиоративного комплекса Приднестровской Молдавской Республики на 2022–2026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Рекомендовать Правительству Приднестровской Молдавской Республики в дальнейшем уделять внимание необходимости планомерного внесения корректировок в государственную целевую программу восстановления и развития мелиоративного комплекса Приднестровской Молдавской Республики на 2022–2026 годы в случае необходимости изменения направлений и объемов финансирования мероприятий по 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         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3198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C2%A001-52/44" TargetMode="External"/><Relationship Id="rId6" Type="http://schemas.openxmlformats.org/officeDocument/2006/relationships/hyperlink" Target="documents/search/doc-link/?q=%D0%BE%D1%82%2010%20%D1%8F%D0%BD%D0%B2%D0%B0%D1%80%D1%8F%202022%20%D0%B3%D0%BE%D0%B4%D0%B0%20%E2%84%96%2013-%D0%97-VII%20%C2%AB%D0%9E%D0%B1%20%D1%83%D1%82%D0%B2%D0%B5%D1%80%D0%B6%D0%B4%D0%B5%D0%BD%D0%B8%D0%B8%20%D0%B3%D0%BE%D1%81%D1%83%D0%B4%D0%B0%D1%80%D1%81%D1%82%D0%B2%D0%B5%D0%BD%D0%BD%D0%BE%D0%B9%20%D1%86%D0%B5%D0%BB%D0%B5%D0%B2%D0%BE%D0%B9%20%D0%BF%D1%80%D0%BE%D0%B3%D1%80%D0%B0%D0%BC%D0%BC%D1%8B%20%D0%B2%D0%BE%D1%81%D1%81%D1%82%D0%B0%D0%BD%D0%BE%D0%B2%D0%BB%D0%B5%D0%BD%D0%B8%D1%8F%20%D0%B8%20%D1%80%D0%B0%D0%B7%D0%B2%D0%B8%D1%82%D0%B8%D1%8F%20%D0%BC%D0%B5%D0%BB%D0%B8%D0%BE%D1%80%D0%B0%D1%82%D0%B8%D0%B2%D0%BD%D0%BE%D0%B3%D0%BE%20%D0%BA%D0%BE%D0%BC%D0%BF%D0%BB%D0%B5%D0%BA%D1%81%D0%B0%20%D0%9F%D1%80%D0%B8%D0%B4%D0%BD%D0%B5%D1%81%D1%82%D1%80%D0%BE%D0%B2%D1%81%D0%BA%D0%BE%D0%B9%20%D0%9C%D0%BE%D0%BB%D0%B4%D0%B0%D0%B2%D1%81%D0%BA%D0%BE%D0%B9%20%D0%A0%D0%B5%D1%81%D0%BF%D1%83%D0%B1%D0%BB%D0%B8%D0%BA%D0%B8%20%D0%BD%D0%B0%202022%E2%80%932026%20%D0%B3%D0%BE%D0%B4%D1%8B%C2%BB%20%28%D0%A1%D0%90%D0%97%2022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909</Words>
  <Characters>6846</Characters>
  <CharactersWithSpaces>7806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