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порядке разработки проекта закона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«О республиканском бюджете на 2025 год»</w:t>
      </w:r>
    </w:p>
    <w:p>
      <w:pPr>
        <w:pStyle w:val="BodyTextoutside-table"/>
        <w:bidi w:val="0"/>
        <w:spacing w:before="0" w:after="283"/>
        <w:ind w:firstLine="709" w:left="0" w:right="0"/>
        <w:jc w:val="center"/>
        <w:rPr/>
      </w:pPr>
      <w:r>
        <w:rPr>
          <w:rStyle w:val="Strong"/>
          <w:rFonts w:ascii="times new roman;times" w:hAnsi="times new roman;times"/>
          <w:sz w:val="24"/>
        </w:rPr>
        <w:t>и методических указаниях</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24 февраля 1997 года № 35-З 
«О бюджетной системе в Приднестровской Молдавской Республике» 
(СЗМР 97-2)</w:t>
        </w:r>
      </w:hyperlink>
      <w:r>
        <w:rPr>
          <w:rFonts w:ascii="times new roman;times" w:hAnsi="times new roman;times"/>
          <w:sz w:val="24"/>
        </w:rPr>
        <w:t xml:space="preserve">, на основании Концепции бюджетной и налоговой политики Приднестровской Молдавской Республики, утвержденной Постановлением Верховного Совета Приднестровской Молдавской Республики </w:t>
      </w:r>
      <w:hyperlink r:id="rId7">
        <w:r>
          <w:rPr>
            <w:rFonts w:ascii="times new roman;times" w:hAnsi="times new roman;times"/>
            <w:sz w:val="24"/>
            <w:color w:val="0563C1"/>
            <w:u w:val="single"/>
          </w:rPr>
          <w:t xml:space="preserve">от 7 июня 
2023 года № 2241 «Об утверждении Концепции бюджетной и налоговой политики на 2024 год и среднесрочную перспективу» (САЗ 23-23)</w:t>
        </w:r>
      </w:hyperlink>
      <w:r>
        <w:rPr>
          <w:rFonts w:ascii="times new roman;times" w:hAnsi="times new roman;times"/>
          <w:sz w:val="24"/>
        </w:rPr>
        <w:t xml:space="preserve">, Прогноза социально-экономического развития, утвержденного Постановлением Верховного Совета Приднестровской Молдавской Республики </w:t>
      </w:r>
      <w:hyperlink r:id="rId8">
        <w:r>
          <w:rPr>
            <w:rFonts w:ascii="times new roman;times" w:hAnsi="times new roman;times"/>
            <w:sz w:val="24"/>
            <w:color w:val="0563C1"/>
            <w:u w:val="single"/>
          </w:rPr>
          <w:t xml:space="preserve">от 17 июля 
2024 года № 3290 «Об утверждении Прогноза социально-экономического развития Приднестровской Молдавской Республики на 2025 год» (САЗ 24-31)</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Министерству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планировать доходы республиканского и местных бюджетов:</w:t>
      </w:r>
    </w:p>
    <w:p>
      <w:pPr>
        <w:pStyle w:val="BodyTextoutside-table"/>
        <w:bidi w:val="0"/>
        <w:spacing w:before="0" w:after="283"/>
        <w:ind w:firstLine="709" w:left="0" w:right="0"/>
        <w:jc w:val="left"/>
        <w:rPr/>
      </w:pPr>
      <w:r>
        <w:rPr>
          <w:rFonts w:ascii="times new roman;times" w:hAnsi="times new roman;times"/>
          <w:sz w:val="24"/>
        </w:rPr>
        <w:t xml:space="preserve">1) налоговые доходы – исходя из макроэкономических показателей </w:t>
      </w:r>
      <w:r>
        <w:rPr/>
        <w:t xml:space="preserve">
</w:t>
      </w:r>
      <w:r>
        <w:rPr>
          <w:rFonts w:ascii="times new roman;times" w:hAnsi="times new roman;times"/>
          <w:sz w:val="24"/>
        </w:rPr>
        <w:t xml:space="preserve">на 2025 год, определенных Прогнозом социально-экономического развития, утвержденного Постановлением Верховного Совета Приднестровской Молдавской Республики </w:t>
      </w:r>
      <w:hyperlink r:id="rId9">
        <w:r>
          <w:rPr>
            <w:rFonts w:ascii="times new roman;times" w:hAnsi="times new roman;times"/>
            <w:sz w:val="24"/>
            <w:color w:val="0563C1"/>
            <w:u w:val="single"/>
          </w:rPr>
          <w:t xml:space="preserve">от 17 июля 2024 года № 3290 «Об утверждении Прогноза социально-экономического развития Приднестровской Молдавской Республики на 2025 год» (САЗ 24-31)</w:t>
        </w:r>
      </w:hyperlink>
      <w:r>
        <w:rPr>
          <w:rFonts w:ascii="times new roman;times" w:hAnsi="times new roman;times"/>
          <w:sz w:val="24"/>
        </w:rPr>
        <w:t xml:space="preserve"> (далее – Прогноз), с учетом: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информации по наиболее крупным плательщикам налоговых, таможенных и иных обязательных сборов и платежей;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динамики фактических поступлений по остальным плательщикам;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информации, представленной Государственным таможенным комитетом Приднестровской Молдавской Республики по таможенным платежам на основании показателей внешней торговли;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неналоговые доходы – на основании обоснованных расчетов соответствующих органов государственной власти и управления (подведомственных организаций), плательщиков, получателей данных доходов;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3) объем доходов Дорожного фонда Приднестровской Молдавской Республики в соответствии с Законом Приднестровской Молдавской Республики </w:t>
      </w:r>
      <w:hyperlink r:id="rId10">
        <w:r>
          <w:rPr>
            <w:rFonts w:ascii="times new roman;times" w:hAnsi="times new roman;times"/>
            <w:sz w:val="24"/>
            <w:color w:val="0563C1"/>
            <w:u w:val="single"/>
          </w:rPr>
          <w:t xml:space="preserve">от 29 сентября 2005 года № 630-З-III «О Дорожном фонде Приднестровской Молдавской Республики» (САЗ 05-40,1)</w:t>
        </w:r>
      </w:hyperlink>
      <w:r>
        <w:rPr>
          <w:rFonts w:ascii="times new roman;times" w:hAnsi="times new roman;times"/>
          <w:sz w:val="24"/>
        </w:rPr>
        <w:t xml:space="preserve"> с учетом информации, представленной Государственным таможенным комитетом Приднестровской Молдавской Республики по таможенным платежам на основании показателей внешней торговли;</w:t>
      </w:r>
    </w:p>
    <w:p>
      <w:pPr>
        <w:pStyle w:val="BodyTextoutside-table"/>
        <w:bidi w:val="0"/>
        <w:spacing w:before="0" w:after="283"/>
        <w:ind w:firstLine="709" w:left="0" w:right="0"/>
        <w:jc w:val="left"/>
        <w:rPr/>
      </w:pPr>
      <w:r>
        <w:rPr>
          <w:rFonts w:ascii="times new roman;times" w:hAnsi="times new roman;times"/>
          <w:sz w:val="24"/>
        </w:rPr>
        <w:t xml:space="preserve">4) объем доходов целевых бюджетных фондов (Фонд капитальных вложений Приднестровской Молдавской Республики, Фонд развития мелиоративного комплекса Приднестровской Молдавской Республики, Фонд развития предпринимательства Приднестровской Молдавской Республики, Фонд поддержки молодежи Приднестровской Молдавской Республики, Фонд поддержки сельского хозяйства Приднестровской Молдавской Республики) – исходя из макроэкономических показателей на 2025 год, определенных Концепцией бюджетной и налоговой политики Приднестровской Молдавской Республики, утвержденной Постановлением Верховного Совета Приднестровской Молдавской Республики </w:t>
      </w:r>
      <w:hyperlink r:id="rId11">
        <w:r>
          <w:rPr>
            <w:rFonts w:ascii="times new roman;times" w:hAnsi="times new roman;times"/>
            <w:sz w:val="24"/>
            <w:color w:val="0563C1"/>
            <w:u w:val="single"/>
          </w:rPr>
          <w:t xml:space="preserve">от 7 июня 2023 года № 2241 
«Об утверждении Концепции бюджетной и налоговой политики на 2024 год и среднесрочную перспективу» (САЗ 23-23)</w:t>
        </w:r>
      </w:hyperlink>
      <w:r>
        <w:rPr>
          <w:rFonts w:ascii="times new roman;times" w:hAnsi="times new roman;times"/>
          <w:sz w:val="24"/>
        </w:rPr>
        <w:t xml:space="preserve"> (далее – Концепция), с учетом положений, определенных подпунктами в) и д) пункта 1 настоящего Распоряжения;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доходы от оказания платных услуг и иной приносящей доход деятельности – на основании обоснованных расчетов соответствующих органов государственной власти и управления, получателей данных доходов (с учетом динамики фактических показателей предыдущих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планировать расходы республиканского бюджета (параметры местных бюджетов):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 расходы на заработную плату (денежное довольствие с учетом выплаты компенсации взамен продовольственного пайка) с учетом взносов на социальное страхование (коды 110100, 110200, 111055), представительские расходы (код 111046) и денежные компенсации (код 130650) – в размерах,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3">
        <w:r>
          <w:rPr>
            <w:rFonts w:ascii="times new roman;times" w:hAnsi="times new roman;times"/>
            <w:sz w:val="24"/>
            <w:color w:val="0563C1"/>
            <w:u w:val="single"/>
          </w:rPr>
          <w:t xml:space="preserve">от 9 июля 2024 года № 141-ЗИ-VII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2024 год» (САЗ 24-29) (без учета примененных в 2024 году мер по исполнению постановлений Коллегии Счетной палаты Приднестровской Молдавской Республики в соответствии с нормами статьи 15 Закона Приднестровской Молдавской Республики </w:t>
      </w:r>
      <w:hyperlink r:id="rId14">
        <w:r>
          <w:rPr>
            <w:rFonts w:ascii="times new roman;times" w:hAnsi="times new roman;times"/>
            <w:sz w:val="24"/>
            <w:color w:val="0563C1"/>
            <w:u w:val="single"/>
          </w:rPr>
          <w:t xml:space="preserve">от 24 февраля 1997 года № 35-З «О бюджетной системе в Приднестровской Молдавской Республике» (СЗМР 97-2)</w:t>
        </w:r>
      </w:hyperlink>
      <w:r>
        <w:rPr>
          <w:rFonts w:ascii="times new roman;times" w:hAnsi="times new roman;times"/>
          <w:sz w:val="24"/>
        </w:rPr>
        <w:t xml:space="preserve"> посредством уменьшения лимитов финансирования в размере средств, использованных не по целевому назначению (или необоснованно), с учетом увеличения лимитов из расчета на двенадцать выплатных месяцев 2025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составе лимитов на оплату труда предусмотреть расходы на выплату премий Президента Приднестровской Молдавской Республики тренерам-преподавателям, учителям, воспитателям, исходя из расчетов, произведенных в соответствии с Указом Президента Приднестровской Молдавской Республики </w:t>
      </w:r>
      <w:hyperlink r:id="rId15">
        <w:r>
          <w:rPr>
            <w:rFonts w:ascii="times new roman;times" w:hAnsi="times new roman;times"/>
            <w:sz w:val="24"/>
            <w:color w:val="0563C1"/>
            <w:u w:val="single"/>
          </w:rPr>
          <w:t xml:space="preserve">от 17 января 2018 года № 15 «Об утверждении Положения о государственных стипендиях и премиях Президента Приднестровской Молдавской Республики» (САЗ 18-3)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Исключение из порядка, предусмотренного частью первой настоящего подпункта, составляет планирование объемов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организациям с обоснованным увеличением (уменьшением) численности; формированием (сокращением) численности вновь созданных (ликвидированных) объектов (организаций); в связи с изменением расчетного периода с момента увеличения (сокращения) численности, создания (ликвидации) нового объекта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 учетом отдельных особенностей и случаев, предусмотренных настоящим Распоряжением;</w:t>
      </w:r>
    </w:p>
    <w:p>
      <w:pPr>
        <w:pStyle w:val="BodyTextoutside-table"/>
        <w:bidi w:val="0"/>
        <w:spacing w:before="0" w:after="283"/>
        <w:ind w:firstLine="709" w:left="0" w:right="0"/>
        <w:jc w:val="left"/>
        <w:rPr/>
      </w:pPr>
      <w:r>
        <w:rPr>
          <w:rFonts w:ascii="times new roman;times" w:hAnsi="times new roman;times"/>
          <w:sz w:val="24"/>
        </w:rPr>
        <w:t xml:space="preserve">2) расходы по подстатье 110310 «Медикаменты и перевязочные </w:t>
      </w:r>
      <w:r>
        <w:rPr/>
        <w:t xml:space="preserve">
</w:t>
      </w:r>
      <w:r>
        <w:rPr>
          <w:rFonts w:ascii="times new roman;times" w:hAnsi="times new roman;times"/>
          <w:sz w:val="24"/>
        </w:rPr>
        <w:t xml:space="preserve">средства» – в размерах, не превышающих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3">
        <w:r>
          <w:rPr>
            <w:rFonts w:ascii="times new roman;times" w:hAnsi="times new roman;times"/>
            <w:sz w:val="24"/>
            <w:color w:val="0563C1"/>
            <w:u w:val="single"/>
          </w:rPr>
          <w:t xml:space="preserve">от 9 июля 2024 года № 141-ЗИ-VII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2024 год» (САЗ 24-29);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3) расходы по подстатьям 110330 «Продукты питания», 111053 «Молочные смеси для детей» – в размерах,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3">
        <w:r>
          <w:rPr>
            <w:rFonts w:ascii="times new roman;times" w:hAnsi="times new roman;times"/>
            <w:sz w:val="24"/>
            <w:color w:val="0563C1"/>
            <w:u w:val="single"/>
          </w:rPr>
          <w:t xml:space="preserve">от 9 июля 2024 года № 141-ЗИ-VII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2024 год» (САЗ 24-29) с учетом прогнозируемого уровня инфляции 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Исключение из порядка, предусмотренного частью первой настоящего подпункта, составляет планирование объемов средств по указанным подстатьям в учреждениях социального обслуживания, детских домах, детских домах семейного типа, школах-интернатах всех типов, реабилитационных центрах для детей-инвалидов, домах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учреждениях социального обслуживания, детских домах, детских домах семейного типа, школах-интернатах всех типов, реабилитационных центрах для детей-инвалидов, домах ребенка – согласно обоснованным расчетам (потребности) соответствующих министерств и ведомств, согласованным с Министерством финансов Приднестровской Молдавской Республики, рассчитанным исходя из действующих норм на питание по действующим ценам и прогнозной численности на 2025 год воспитанников (опекаемых);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расходы на отдельные социально защищенные направления: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согласно обоснованным расчетам (потребности) соответствующих министерств и ведомств, согласованным с Министерством финансов Приднестровской Молдавской Республики,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 выплату стипендий;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 выплату пенсий, пособий и компенсационных выплат, возмещаемых из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на повышение пенсий за особые заслуги перед государством;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на выплату пособий детям-сиротам и детям, оставшимся без попечения родителей;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на первоочередное обеспечение детей из многодетных семей бесплатными путевками в детские оздоровительные лагеря, а также расходы по обеспечению путевками на санаторно-курортное лечение ветеранов Великой Отечественной войны, участников боевых действий по защите Приднестровской Молдавской Республики, участников боевых действий на территории других государств, семей погибших или умерших военнослужащих, указанных в пунктах 1 и 2 статьи 8 Закона Приднестровской Молдавской Республики от 21 марта 1995 года «О социальной защите ветеранов войны» (CЗМР 95-1), инвалидов вследствие ранения, контузии, увечья или заболевания, полученных при защите Приднестровской Молдавской Республики, при исполнении обязанностей военной службы или служебных обязанностей на территории других государств в периоды ведения в этих государствах боевых действий, участников ликвидации последствий катастрофы на Чернобыльской АЭС, граждан, ставших инвалидами, получивших или перенесших лучевую болезнь, другие заболевания, связанные с радиационным облучением,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Теча;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на выплату единовременной материальной помощи ко Дню памяти и скорби по погибшим в городе Бендеры и к республиканскому Дню памяти погибших и умерших защитников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15 февраля 1989 года, семей погибших и умерших инвалидов – защитников Приднестровской Молдавской Республики, а также малообеспеченных семей на приобретение компьютерной техники;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согласно обоснованным расчетам (потребности) соответствующих министерств и ведомств, согласованным с Министерством финансов Приднестровской Молдавской Республики, с учетом плановых и фактических показателей предыдущих лет,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 выплату пенсий, пожизненного содержания и пособий судьям;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 выплату пенсий, пенсионных компенсаций, пособий военнослужащим и работникам органов прокуратуры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на выплату трансфертов страховым компаниям на обязательное государственное, личное страхование;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 секретным статьям;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5) расходы на содержание детских домов, детских домов семейного типа, интернатов, домов ветеранов, реабилитационных центров для детей-инвалидов, домов ребенка, специальных (коррекционных) организаций образования – в размерах,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3">
        <w:r>
          <w:rPr>
            <w:rFonts w:ascii="times new roman;times" w:hAnsi="times new roman;times"/>
            <w:sz w:val="24"/>
            <w:color w:val="0563C1"/>
            <w:u w:val="single"/>
          </w:rPr>
          <w:t xml:space="preserve">от 9 июля 2024 года № 141-ЗИ-VII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2024 год» (САЗ 24-29), с учетом обоснованной потребности, за исключением расходов на оплату услуг связи, коммунальных услуг, услуг вневедомственной охраны, по переподготовке кадров, проектирование которых производится в порядке, предусмотренном подпунктами 12), 13), 16), 18) подпункта б) пункта 1 настоящего Распоряжения;</w:t>
      </w:r>
    </w:p>
    <w:p>
      <w:pPr>
        <w:pStyle w:val="BodyTextoutside-table"/>
        <w:bidi w:val="0"/>
        <w:spacing w:before="0" w:after="283"/>
        <w:ind w:firstLine="709" w:left="0" w:right="0"/>
        <w:jc w:val="left"/>
        <w:rPr/>
      </w:pPr>
      <w:r>
        <w:rPr>
          <w:rFonts w:ascii="times new roman;times" w:hAnsi="times new roman;times"/>
          <w:sz w:val="24"/>
        </w:rPr>
        <w:t xml:space="preserve">6) расходы по лечению больных за пределами Приднестровской Молдавской Республики – в размерах, не превышающих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6">
        <w:r>
          <w:rPr>
            <w:rFonts w:ascii="times new roman;times" w:hAnsi="times new roman;times"/>
            <w:sz w:val="24"/>
            <w:color w:val="0563C1"/>
            <w:u w:val="single"/>
          </w:rPr>
          <w:t xml:space="preserve">от 9 июля 2024 года 
№ 141-ЗИ-VII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2024 год» (САЗ 24-29);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расходы на выплату гарантированных восстановленных сбережений граждан – исходя из сохранения на 2025 год действующего в 2024 году порядка выплаты и перечня категорий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расходы на выплату гарантированных восстановленных страховых взносов граждан – исходя из динамики фактических показателей предыдущих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расходы по социально защищенным направлениям, не оговоренным в подпунктах 2)-8) подпункта б) пункта 1 настоящего Распоряжения, – в объеме фактически профинансированных расходов в 2023 году (без учета выделенных из резервных фондов средств), увеличенном на сумму кредиторской задолженности, сформированной по состоянию на 31 декабря 2023 года с учетом исключения единоразовых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трансферты на покрытие потерь от предоставления льгот по транспорту, а также на субсидирование при обслуживании транспортными организациями (перевозчиками), имеющими договорные отношения об обслуживании регулярных маршрутов (рейсов) автомобильных перевозчиков и багажа, социально значимых регулярных маршрутов, – исходя из прогнозируемых расчетов объемов предоставления льгот на 2025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11) расходы на содержание автотранспорта – в размерах, не превышающих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3">
        <w:r>
          <w:rPr>
            <w:rFonts w:ascii="times new roman;times" w:hAnsi="times new roman;times"/>
            <w:sz w:val="24"/>
            <w:color w:val="0563C1"/>
            <w:u w:val="single"/>
          </w:rPr>
          <w:t xml:space="preserve">от 9 июля 2024 года № 141-ЗИ-VII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2024 год» (САЗ 24-29);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12) расходы на оплату услуг связи – исходя из обоснованных и согласованных с Министерством финансов Приднестровской Молдавской Республики расчетов, представленных соответствующими органами государственной власти и управления (подведомственными организациями), в соответствии с нормами Постановления Правительства Приднестровской Молдавской Республике </w:t>
      </w:r>
      <w:hyperlink r:id="rId17">
        <w:r>
          <w:rPr>
            <w:rFonts w:ascii="times new roman;times" w:hAnsi="times new roman;times"/>
            <w:sz w:val="24"/>
            <w:color w:val="0563C1"/>
            <w:u w:val="single"/>
          </w:rPr>
          <w:t xml:space="preserve">от 10 июля 2012 года № 72 «О регулировании (нормировании) отдельных видов расходов органами государственной власти и управления и организациями, финансируемыми из бюджетов различных уровней» (САЗ 12-29)</w:t>
        </w:r>
      </w:hyperlink>
      <w:r>
        <w:rPr>
          <w:rFonts w:ascii="times new roman;times" w:hAnsi="times new roman;times"/>
          <w:sz w:val="24"/>
        </w:rPr>
        <w:t xml:space="preserve">, с учетом динамики фактических показателей предыдущих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13) расходы по подстатьям 110720 «Оплата тепловой энергии», 110730 «Оплата освещения помещений», 110740 «Оплата водоснабжения помещений», 110770 «Оплата льгот по коммунальным услугам», 110780 «Оплата газа» – исходя из лимитов потребления топливно-энергетических ресурсов, водопотребления и водоотведения, согласованных с Министерством экономического развития Приднестровской Молдавской Республики, в соответствии с предельными уровнями тарифов на топливно-энергетические ресурсы, утвержденных Постановлением Правительства Приднестровской Молдавской Республики </w:t>
      </w:r>
      <w:hyperlink r:id="rId18">
        <w:r>
          <w:rPr>
            <w:rFonts w:ascii="times new roman;times" w:hAnsi="times new roman;times"/>
            <w:sz w:val="24"/>
            <w:color w:val="0563C1"/>
            <w:u w:val="single"/>
          </w:rPr>
          <w:t xml:space="preserve">от 27 мая 2024 года № 254 «Об установлении на 2025 год предельных уровней тарифов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на услуги водоснабжения и водоотведения (канализация)» (САЗ 24-23)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расходы по оплате льгот по коммунальным услугам и по оплате услуг, предоставляемых в жилищном фонде, а также льгот по услугам связи, возмещению разницы в тарифах в связи с установлением понижающего коэффициента к предельным тарифам на оплату услуг электроснабжения для населения, проживающего в домах, оборудованных электрическими плитами, – исходя из прогнозируемого объема предоставления льгот на 2025 год (с учетом динамики фактических показателей предыдущих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расходы на компенсацию государственной поддержки населению – бытовым потребителям в виде понижения стоимости потребленных коммунальных услуг – в прогнозируемом объеме расчетной потребности на 2025 год с установлением в текстовой части объема расходов, подлежащих финансированию по данному направлению, в сумме обоснованной потребности для реализации указанными субъектами инвестиционных программ, исходя из расчетов, представленных Министерством экономического развития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расходы на вневедомственную охрану – в соответствии с количеством охраняемых подразделениями вневедомственной охраны Министерства внутренних дел Приднестровской Молдавской Республики объектов (ключей) с учетом прогнозных предельных уровней тарифов на услуги государственных учреждений, подведомственных Министерству внутренних дел Приднестровской Молдавской Республики, согласно приведенным в таблице: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Таблица</w:t>
      </w:r>
    </w:p>
    <w:tbl>
      <w:tblPr>
        <w:tblW w:w="5000" w:type="pct"/>
        <w:jc w:val="left"/>
        <w:tblInd w:w="0" w:type="dxa"/>
        <w:tblLayout w:type="fixed"/>
        <w:tblCellMar>
          <w:top w:w="28" w:type="dxa"/>
          <w:left w:w="28" w:type="dxa"/>
          <w:bottom w:w="28" w:type="dxa"/>
          <w:right w:w="28" w:type="dxa"/>
        </w:tblCellMar>
      </w:tblPr>
      <w:tblGrid>
        <w:gridCol w:w="675"/>
        <w:gridCol w:w="4986"/>
        <w:gridCol w:w="1700"/>
        <w:gridCol w:w="2844"/>
      </w:tblGrid>
      <w:tr>
        <w:trPr>
          <w:tblHeader w:val="true"/>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xml:space="preserve">№ </w:t>
            </w:r>
            <w:r>
              <w:rPr>
                <w:rFonts w:ascii="times new roman;times" w:hAnsi="times new roman;times"/>
                <w:sz w:val="16"/>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услуги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Единица измерения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Прогноз предельных уровней тарифов на 2025 год, рубли Приднестровской Молдавской Республики</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Охрана пультом централизованного наблюдения объектов и обособленных помещений охранно-пожарной сигнализацией, кнопкой тревожной сигнализации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 месяц</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за 1 ключ</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right"/>
              <w:rPr>
                <w:rFonts w:ascii="times new roman;times" w:hAnsi="times new roman;times"/>
                <w:sz w:val="16"/>
              </w:rPr>
            </w:pPr>
            <w:r>
              <w:rPr>
                <w:rFonts w:ascii="times new roman;times" w:hAnsi="times new roman;times"/>
                <w:sz w:val="16"/>
              </w:rPr>
              <w:t>1 292,80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Обслуживание охранно-пожарной сигнализации и систем видеонаблюдения, смонтированных на объекте при норме обслуживания 120 условных установок</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 месяц за одну условную установку</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right"/>
              <w:rPr>
                <w:rFonts w:ascii="times new roman;times" w:hAnsi="times new roman;times"/>
                <w:sz w:val="16"/>
              </w:rPr>
            </w:pPr>
            <w:r>
              <w:rPr>
                <w:rFonts w:ascii="times new roman;times" w:hAnsi="times new roman;times"/>
                <w:sz w:val="16"/>
              </w:rPr>
              <w:t>57,75</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Охрана нарядами (постами) милиции объектов (ограниченных территорий, строений, зданий, помещений и обособленного имущества), имущества при его транспортировке, инспектирование деятельности ведомственной охраны**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 (один) посточас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right"/>
              <w:rPr>
                <w:rFonts w:ascii="times new roman;times" w:hAnsi="times new roman;times"/>
                <w:sz w:val="16"/>
              </w:rPr>
            </w:pPr>
            <w:r>
              <w:rPr>
                <w:rFonts w:ascii="times new roman;times" w:hAnsi="times new roman;times"/>
                <w:sz w:val="16"/>
              </w:rPr>
              <w:t>60,10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Охрана объектов (ограниченных территорий, строений, зданий, помещений и обособленного имущества) постами военизированной охраны**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 (один)  посточас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right"/>
              <w:rPr>
                <w:rFonts w:ascii="times new roman;times" w:hAnsi="times new roman;times"/>
                <w:sz w:val="16"/>
              </w:rPr>
            </w:pPr>
            <w:r>
              <w:rPr>
                <w:rFonts w:ascii="times new roman;times" w:hAnsi="times new roman;times"/>
                <w:sz w:val="16"/>
              </w:rPr>
              <w:t>39,40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Охрана объектов (ограниченных территорий, строений, зданий, помещений и обособленного имущества) сторожевыми постами**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 (один) посточас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right"/>
              <w:rPr>
                <w:rFonts w:ascii="times new roman;times" w:hAnsi="times new roman;times"/>
                <w:sz w:val="16"/>
              </w:rPr>
            </w:pPr>
            <w:r>
              <w:rPr>
                <w:rFonts w:ascii="times new roman;times" w:hAnsi="times new roman;times"/>
                <w:sz w:val="16"/>
              </w:rPr>
              <w:t>38,30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Монтаж средств охранно-пожарной сигнализации и систем видеонаблюдения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 (один)  час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right"/>
              <w:rPr>
                <w:rFonts w:ascii="times new roman;times" w:hAnsi="times new roman;times"/>
                <w:sz w:val="16"/>
              </w:rPr>
            </w:pPr>
            <w:r>
              <w:rPr>
                <w:rFonts w:ascii="times new roman;times" w:hAnsi="times new roman;times"/>
                <w:sz w:val="16"/>
              </w:rPr>
              <w:t>151,80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Обследование объекта для монтажа средств охранно-пожарной сигнализации, кнопки тревожной сигнализации (проектно-техническое обеспечение)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 (один)  час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right"/>
              <w:rPr>
                <w:rFonts w:ascii="times new roman;times" w:hAnsi="times new roman;times"/>
                <w:sz w:val="16"/>
              </w:rPr>
            </w:pPr>
            <w:r>
              <w:rPr>
                <w:rFonts w:ascii="times new roman;times" w:hAnsi="times new roman;times"/>
                <w:sz w:val="16"/>
              </w:rPr>
              <w:t>80,55</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Ремонт и тестирование систем и средств охранной и охранно-пожарной сигнализации (без стоимости материалов)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 (один) час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right"/>
              <w:rPr>
                <w:rFonts w:ascii="times new roman;times" w:hAnsi="times new roman;times"/>
                <w:sz w:val="16"/>
              </w:rPr>
            </w:pPr>
            <w:r>
              <w:rPr>
                <w:rFonts w:ascii="times new roman;times" w:hAnsi="times new roman;times"/>
                <w:sz w:val="16"/>
              </w:rPr>
              <w:t>59,30</w:t>
            </w:r>
          </w:p>
        </w:tc>
      </w:tr>
      <w:tr>
        <w:trPr/>
        <w:tc>
          <w:tcPr>
            <w:tcW w:w="0" w:type="auto"/>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 в стоимость услуги включены расходы на приобретение горюче-смазочных материалов на оказание услуги в черте города</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расходы на денежное вознаграждение за выполненные работы – согласно обоснованным расчетам (потребности) соответствующих министерств и ведомств, согласованным с Министерством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расходы на финансирование затрат по переподготовке кадров – исходя из обоснованных и согласованных с Министерством финансов Приднестровской Молдавской Республики расчетов, представленных соответствующими органами государственной власти и управления (подведомственными организациями), с учетом динамики фактических показателей предыдущих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расходы на обеспечение (выплаты)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 согласно обоснованным расчетам (потребности) соответствующих министерств и ведомств, согласованным с Министерством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20) расходы на возмещение стоимости обучения лиц, имеющих право на льготы в соответствии с Законом Приднестровской Молдавской Республики </w:t>
      </w:r>
      <w:hyperlink r:id="rId19">
        <w:r>
          <w:rPr>
            <w:rFonts w:ascii="times new roman;times" w:hAnsi="times new roman;times"/>
            <w:sz w:val="24"/>
            <w:color w:val="0563C1"/>
            <w:u w:val="single"/>
          </w:rPr>
          <w:t xml:space="preserve">от 11 мая 2006 года № 26-З-IV «О государственной поддержке многодетных семей» (САЗ 06-20)</w:t>
        </w:r>
      </w:hyperlink>
      <w:r>
        <w:rPr>
          <w:rFonts w:ascii="times new roman;times" w:hAnsi="times new roman;times"/>
          <w:sz w:val="24"/>
        </w:rPr>
        <w:t xml:space="preserve"> (подпункт н) пункта 1 статьи 5), Законом Приднестровской Молдавской Республики </w:t>
      </w:r>
      <w:hyperlink r:id="rId20">
        <w:r>
          <w:rPr>
            <w:rFonts w:ascii="times new roman;times" w:hAnsi="times new roman;times"/>
            <w:sz w:val="24"/>
            <w:color w:val="0563C1"/>
            <w:u w:val="single"/>
          </w:rPr>
          <w:t xml:space="preserve">от 5 января 2001 года № 371-З «О статусе военнослужащих» (СЗМР 01-1)</w:t>
        </w:r>
      </w:hyperlink>
      <w:r>
        <w:rPr>
          <w:rFonts w:ascii="times new roman;times" w:hAnsi="times new roman;times"/>
          <w:sz w:val="24"/>
        </w:rPr>
        <w:t xml:space="preserve"> (пункт 3 статьи 19), – согласно обоснованным расчетам (потребности) соответствующих министерств и ведомств, согласованным с Министерством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расходы, связанные с оказанием услуг по организации лечебного питания пациентов, находящихся на стационарном лечении в лечебно-профилактических учреждениях, переданных на аутсорсинг, – исходя из обоснованной потребности с учетом действующих условий договоров, заявленной Министерством здравоохранения Приднестровской Молдавской Республики и согласованной с Министерством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22) расходы для осуществления капитального строительства, реконструкции, капитального ремонта административных зданий и помещений главных распорядителей бюджетных средств в рамках основных смет на содержание органов государственной власти и управления, финансируемых из республиканского бюджета, – исходя из сформированной проектно-сметной документации (по капитальному ремонту – дефектной ведомости) на весь комплекс работ по соответствующим объектам, согласованной с Министерством экономического развития Приднестровской Молдавской Республики, в совокупном объеме не более чем в размерах,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на данные цели, с учетом отдельных особенностей, определенных настоящим Распоряжением;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23) иные расходы по статьям бюджетной классификации, не относящимся к социально защищенным, за исключением расходов, оговоренных настоящим Распоряжением, предусмотреть с учетом динамики плановых и фактических бюджетных параметров за ряд предшествующих лет, но не более чем в размерах,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3">
        <w:r>
          <w:rPr>
            <w:rFonts w:ascii="times new roman;times" w:hAnsi="times new roman;times"/>
            <w:sz w:val="24"/>
            <w:color w:val="0563C1"/>
            <w:u w:val="single"/>
          </w:rPr>
          <w:t xml:space="preserve">от 9 июля 2024 года № 141-ЗИ-VII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2024 год» (САЗ 24-29).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Расходы по соответствующим местным бюджетам городов (районов) Приднестровской Молдавской Республики, указанные в части первой настоящего подпункта, предусмотреть исходя из среднего уровня расходов, утвержденных на 2024 год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3">
        <w:r>
          <w:rPr>
            <w:rFonts w:ascii="times new roman;times" w:hAnsi="times new roman;times"/>
            <w:sz w:val="24"/>
            <w:color w:val="0563C1"/>
            <w:u w:val="single"/>
          </w:rPr>
          <w:t xml:space="preserve">от 9 июля 2024 года № 141-ЗИ-VII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2024 год» (САЗ 24-29), в расчете на одного жителя соответствующих административно-территориальных единиц, рассчитанного по общей численности населения Приднестровской Молдавской Республики по состоянию на 1 января 2024 года, без учета средств на оплату коммунальных услуг, услуг связи, трансфертов предприятиям электротранспорта города Тирасполя и города Бендеры и расходов на проведение выборов;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24) размер трансфертов предприятиям электротранспорта города Тирасполя и города Бендеры, а также государственному унитарному предприятию «Почта Приднестровья» – в размерах,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расходы на проведение выборов депутатов Верховного Совета Приднестровской Молдавской Республики, народных депутатов местных Советов народных депутатов, представителей Советов – глав администраций сел, поселков – исходя из представленных смет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расходы на содержание Администрации Президента Приднестровской Молдавской Республики, Верховного Совета Приднестровской Молдавской Республики и Аппарата Правительства Приднестровской Молдавской Республики – исходя из представленных указанными органами проектов смет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расходы на финансирование государственного заказа на проведение научно-исследовательских работ, опытно-конструкторских и технологических работ – в размере утвержденного Правительством Приднестровской Молдавской Республики государственного заказа на проведение научно-исследовательских работ, опытно-конструкторских и технологических работ на очередной финансовый год. Расходы на финансирование иных государственных заказов – согласно обоснованным расчетам (потребности) соответствующих министерств и ведомств, согласованным с Министерством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28) расходы на реализацию мероприятий по государственным целевым программам в сфере здравоохранения Приднестровской Молдавской Республики – исходя из минимально необходимой обоснованной потребности, заявленной Министерством здравоохранения Приднестровской Молдавской Республики и согласованной с Министерством финансов Приднестровской Молдавской Республики, с учетом динамики фактических показателей предыдущих 3 (трех) лет, в том числе по утвержденным законами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w:t>
      </w:r>
      <w:hyperlink r:id="rId21">
        <w:r>
          <w:rPr>
            <w:rFonts w:ascii="times new roman;times" w:hAnsi="times new roman;times"/>
            <w:sz w:val="24"/>
            <w:color w:val="0563C1"/>
            <w:u w:val="single"/>
          </w:rPr>
          <w:t xml:space="preserve">от 27 ноября 2020 года № 207-З-VI</w:t>
        </w:r>
      </w:hyperlink>
      <w:r>
        <w:rPr>
          <w:rFonts w:ascii="times new roman;times" w:hAnsi="times new roman;times"/>
          <w:sz w:val="24"/>
        </w:rPr>
        <w:t xml:space="preserve"> «Об утверждении государственной целевой программы «Иммунизация населения Приднестровской Молдавской Республики» на 2021-2025 годы» (САЗ 20-48);</w:t>
      </w:r>
    </w:p>
    <w:p>
      <w:pPr>
        <w:pStyle w:val="BodyTextoutside-table"/>
        <w:bidi w:val="0"/>
        <w:spacing w:before="0" w:after="283"/>
        <w:ind w:firstLine="709" w:left="0" w:right="0"/>
        <w:jc w:val="left"/>
        <w:rPr/>
      </w:pPr>
      <w:r>
        <w:rPr>
          <w:rFonts w:ascii="times new roman;times" w:hAnsi="times new roman;times"/>
          <w:sz w:val="24"/>
        </w:rPr>
        <w:t xml:space="preserve">б) </w:t>
      </w:r>
      <w:hyperlink r:id="rId22">
        <w:r>
          <w:rPr>
            <w:rFonts w:ascii="times new roman;times" w:hAnsi="times new roman;times"/>
            <w:sz w:val="24"/>
            <w:color w:val="0563C1"/>
            <w:u w:val="single"/>
          </w:rPr>
          <w:t xml:space="preserve">от 1 декабря 2020 года № 209-З-VI</w:t>
        </w:r>
      </w:hyperlink>
      <w:r>
        <w:rPr>
          <w:rFonts w:ascii="times new roman;times" w:hAnsi="times new roman;times"/>
          <w:sz w:val="24"/>
        </w:rPr>
        <w:t xml:space="preserve"> «Об утверждении государственной целевой программы «Профилактика туберкулеза» на 2021-2025 годы» (САЗ </w:t>
      </w:r>
      <w:r>
        <w:rPr/>
        <w:t xml:space="preserve">
</w:t>
      </w:r>
      <w:r>
        <w:rPr>
          <w:rFonts w:ascii="times new roman;times" w:hAnsi="times new roman;times"/>
          <w:sz w:val="24"/>
        </w:rPr>
        <w:t xml:space="preserve">20-49);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w:t>
      </w:r>
      <w:hyperlink r:id="rId23">
        <w:r>
          <w:rPr>
            <w:rFonts w:ascii="times new roman;times" w:hAnsi="times new roman;times"/>
            <w:sz w:val="24"/>
            <w:color w:val="0563C1"/>
            <w:u w:val="single"/>
          </w:rPr>
          <w:t xml:space="preserve">от 30 декабря 2020 года № 239-З-VII</w:t>
        </w:r>
      </w:hyperlink>
      <w:r>
        <w:rPr>
          <w:rFonts w:ascii="times new roman;times" w:hAnsi="times new roman;times"/>
          <w:sz w:val="24"/>
        </w:rPr>
        <w:t xml:space="preserve">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(САЗ 21-1);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 </w:t>
      </w:r>
      <w:hyperlink r:id="rId24">
        <w:r>
          <w:rPr>
            <w:rFonts w:ascii="times new roman;times" w:hAnsi="times new roman;times"/>
            <w:sz w:val="24"/>
            <w:color w:val="0563C1"/>
            <w:u w:val="single"/>
          </w:rPr>
          <w:t xml:space="preserve">от 28 декабря 2021 года № 359-З-VII</w:t>
        </w:r>
      </w:hyperlink>
      <w:r>
        <w:rPr>
          <w:rFonts w:ascii="times new roman;times" w:hAnsi="times new roman;times"/>
          <w:sz w:val="24"/>
        </w:rPr>
        <w:t xml:space="preserve"> «Об утверждении государственной целевой программы «Профилактика и лечение сердечно-сосудистых заболеваний в Приднестровской Молдавской Республике» на 2022-2026 годы» (САЗ 21-52);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расходы на реализацию мероприятий по иным государственным и государственным целевым программам – в соответствии с мероприятиями и объемами финансирования, установленными законодательными актами об утверждении государственных и государственных целевых программ, с учетом динамики фактических показателей предыдущих 3 (трех) лет (при наличии) и предложений разработчика, согласованных с Министерством финансов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w:t>
      </w:r>
      <w:hyperlink r:id="rId25">
        <w:r>
          <w:rPr>
            <w:rFonts w:ascii="times new roman;times" w:hAnsi="times new roman;times"/>
            <w:sz w:val="24"/>
            <w:color w:val="0563C1"/>
            <w:u w:val="single"/>
          </w:rPr>
          <w:t xml:space="preserve">от 27 апреля 2017 года № 89-З-VI</w:t>
        </w:r>
      </w:hyperlink>
      <w:r>
        <w:rPr>
          <w:rFonts w:ascii="times new roman;times" w:hAnsi="times new roman;times"/>
          <w:sz w:val="24"/>
        </w:rPr>
        <w:t xml:space="preserve"> «Об утверждении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2018-2027 годов» (САЗ 17-18);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 </w:t>
      </w:r>
      <w:hyperlink r:id="rId26">
        <w:r>
          <w:rPr>
            <w:rFonts w:ascii="times new roman;times" w:hAnsi="times new roman;times"/>
            <w:sz w:val="24"/>
            <w:color w:val="0563C1"/>
            <w:u w:val="single"/>
          </w:rPr>
          <w:t xml:space="preserve">от 26 июля 2021 года № 185-З-VII</w:t>
        </w:r>
      </w:hyperlink>
      <w:r>
        <w:rPr>
          <w:rFonts w:ascii="times new roman;times" w:hAnsi="times new roman;times"/>
          <w:sz w:val="24"/>
        </w:rPr>
        <w:t xml:space="preserve"> «Об утверждении государственной целевой программы «Учебник» на 2022-2026 годы» (САЗ 21-30);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w:t>
      </w:r>
      <w:hyperlink r:id="rId27">
        <w:r>
          <w:rPr>
            <w:rFonts w:ascii="times new roman;times" w:hAnsi="times new roman;times"/>
            <w:sz w:val="24"/>
            <w:color w:val="0563C1"/>
            <w:u w:val="single"/>
          </w:rPr>
          <w:t xml:space="preserve">от 4 ноября 2020 года № 181-З-VI</w:t>
        </w:r>
      </w:hyperlink>
      <w:r>
        <w:rPr>
          <w:rFonts w:ascii="times new roman;times" w:hAnsi="times new roman;times"/>
          <w:sz w:val="24"/>
        </w:rPr>
        <w:t xml:space="preserve"> «Об утверждении государственной целевой программы «Переоснащение служебного автотранспорта пожарной охраны» на 2023-2031 годы» (САЗ 20-45);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 </w:t>
      </w:r>
      <w:hyperlink r:id="rId28">
        <w:r>
          <w:rPr>
            <w:rFonts w:ascii="times new roman;times" w:hAnsi="times new roman;times"/>
            <w:sz w:val="24"/>
            <w:color w:val="0563C1"/>
            <w:u w:val="single"/>
          </w:rPr>
          <w:t xml:space="preserve">от 13 июля 2021 года № 152-З-VII</w:t>
        </w:r>
      </w:hyperlink>
      <w:r>
        <w:rPr>
          <w:rFonts w:ascii="times new roman;times" w:hAnsi="times new roman;times"/>
          <w:sz w:val="24"/>
        </w:rPr>
        <w:t xml:space="preserve"> «Об утверждении государственной целевой программы «Об утверждении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2021–2026 годов» (САЗ 21-28);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 </w:t>
      </w:r>
      <w:hyperlink r:id="rId29">
        <w:r>
          <w:rPr>
            <w:rFonts w:ascii="times new roman;times" w:hAnsi="times new roman;times"/>
            <w:sz w:val="24"/>
            <w:color w:val="0563C1"/>
            <w:u w:val="single"/>
          </w:rPr>
          <w:t xml:space="preserve">от 26 июля 2021 года № 193-З-VII «Об утверждении государственной программы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(САЗ 21-30)</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w:t>
      </w:r>
      <w:hyperlink r:id="rId30">
        <w:r>
          <w:rPr>
            <w:rFonts w:ascii="times new roman;times" w:hAnsi="times new roman;times"/>
            <w:sz w:val="24"/>
            <w:color w:val="0563C1"/>
            <w:u w:val="single"/>
          </w:rPr>
          <w:t xml:space="preserve">от 26 декабря 2023 года № 397-З-VII</w:t>
        </w:r>
      </w:hyperlink>
      <w:r>
        <w:rPr>
          <w:rFonts w:ascii="times new roman;times" w:hAnsi="times new roman;times"/>
          <w:sz w:val="24"/>
        </w:rPr>
        <w:t xml:space="preserve"> «Об утверждении государственной целевой программы «Развитие системы питьевого водоснабжения населенных пунктов Приднестровской Молдавской Республики на 2024–2028 годы» (САЗ 24-1);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ж) </w:t>
      </w:r>
      <w:hyperlink r:id="rId31">
        <w:r>
          <w:rPr>
            <w:rFonts w:ascii="times new roman;times" w:hAnsi="times new roman;times"/>
            <w:sz w:val="24"/>
            <w:color w:val="0563C1"/>
            <w:u w:val="single"/>
          </w:rPr>
          <w:t xml:space="preserve">от 30 мая 2024 года № 99-З-VII</w:t>
        </w:r>
      </w:hyperlink>
      <w:r>
        <w:rPr>
          <w:rFonts w:ascii="times new roman;times" w:hAnsi="times new roman;times"/>
          <w:sz w:val="24"/>
        </w:rPr>
        <w:t xml:space="preserve"> «Об утверждении государственной целевой программы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(САЗ 24-23);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30) расходы на приватизацию государственных объектов, включенных в государственный перечень объектов имущества, находящихся в государственной собственности, подлежащих приватизации в Приднестровской Молдавской Республике в 2024–2025 годах, в соответствии с Законом Приднестровской Молдавской Республики </w:t>
      </w:r>
      <w:hyperlink r:id="rId32">
        <w:r>
          <w:rPr>
            <w:rFonts w:ascii="times new roman;times" w:hAnsi="times new roman;times"/>
            <w:sz w:val="24"/>
            <w:color w:val="0563C1"/>
            <w:u w:val="single"/>
          </w:rPr>
          <w:t xml:space="preserve">от 25 декабря 2023 года № 387-З-VII «Государственная программа разгосударствления и приватизации в Приднестровской Молдавской Республике на 2024–2025 годы» (САЗ 24-1)</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31) расходы на реализацию Государственной программы исполнения наказов избирателей в 2025 году – в размерах,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расходы по погашению внутреннего государственного долга – исходя из доходных возможностей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33) расходы за счет доходов от оказания платных услуг и иной приносящей доход деятельности – на основании обоснованных расчетов соответствующих органов государственной власти и управления (подведомственных учреждений), получателей данных доходов, с учетом динамики фактических показателей предыдущих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объемы расходов по Фонду капитальных вложений Приднестровской Молдавской Республики – в размере, не превышающем 2 процента от валового внутреннего продукта предыдущего финансового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объемы расходов по Дорожному фонду Приднестровской Молдавской Республики, Республиканскому экологическому фонду Приднестровской Молдавской Республики и территориальным экологическим фондам, а также по Фонду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 в пределах планируемых объемов соответствующих доходных источников, но не более обоснованных расчетов (потребности) соответствующих министерств и ведомств;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 объемы расходов по следующему перечню целевых бюджетных фондов – на основании обоснованной потребности соответствующих органов государственной власти и управления, ответственных за реализацию мероприятий по целевым бюджетным фондам, сформированной с учетом законодательства Приднестровской Молдавской Республики и положений Концепции, но не более размеров, установленных Законом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редакции Закона Приднестровской Молдавской Республики </w:t>
      </w:r>
      <w:hyperlink r:id="rId12">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Фонд развития мелиоративного комплекса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Фонд развития предпринимательства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Фонд поддержки молодежи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Фонд поддержки сельского хозяйства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сохранить действие следующих бюджетных фондов республиканского бюджета: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Фонд поддержки территорий городов и районов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Резервный фонд Президента 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Резервный фонд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проектирование по отдельным направлениям, не оговоренным настоящим Распоряжением, осуществлять с учетом: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 реализации положений Указа Президента Приднестровской Молдавской Республики </w:t>
      </w:r>
      <w:hyperlink r:id="rId33">
        <w:r>
          <w:rPr>
            <w:rFonts w:ascii="times new roman;times" w:hAnsi="times new roman;times"/>
            <w:sz w:val="24"/>
            <w:color w:val="0563C1"/>
            <w:u w:val="single"/>
          </w:rPr>
          <w:t xml:space="preserve">от 12 декабря 2018 года № 460 «Об утверждении Стратегии развития Приднестровской Молдавской Республики на 2019-2026 годы»</w:t>
        </w:r>
      </w:hyperlink>
      <w:r>
        <w:rPr>
          <w:rFonts w:ascii="times new roman;times" w:hAnsi="times new roman;times"/>
          <w:sz w:val="24"/>
        </w:rPr>
        <w:t xml:space="preserve"> и Концепции;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поручений Президента Приднестровской Молдавской Республики и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при проектировании расходов на содержание органов государственной власти и управления, государственных органов, организаций, финансируемых из бюджетов различных уровней, разрешить учитывать обоснованные предложения главных распорядителей бюджетных средств по перераспределению средств между подстатьями бюджетной классификации расходов в рамках сметы расходов, сформированной в соответствии с настоящим Распоряжением.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Органам государственной власти и управления, государственным органам, организациям, финансируемым из бюджетов различных уровней, обеспечить представление по запросам Министерства финансов Приднестровской Молдавской Республики информации, необходимой для формирования показателей бюджета на 2025 год, в сроки, определенные соответствующим запросом Министерства финансов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Ответственность за исполнение настоящего Распоряжения возложить на заместителя Председателя Правительства Приднестровской Молдавской Республики – министра финансов Приднестровской Молдавской Республики и руководителей соответствующих органов государственной власти и управления, государственных органов, организаций, финансируемых из бюджетов различных уровней (в части расчетов, обоснований по отдельным направлениям и представления запрашиваемой Министерством финансов Приднестровской Молдавской Республики информации).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Контроль за исполнением настоящего Распоряжения оставляю за собой.</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ПРЕДСЕДАТЕЛЬ  ПРАВИТЕЛЬСТВА                                                 А.РОЗЕНБЕРГ</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4%20%D1%84%D0%B5%D0%B2%D1%80%D0%B0%D0%BB%D1%8F%201997%20%D0%B3%D0%BE%D0%B4%D0%B0%20%E2%84%96%2035-%D0%97%20%0A%C2%AB%D0%9E%20%D0%B1%D1%8E%D0%B4%D0%B6%D0%B5%D1%82%D0%BD%D0%BE%D0%B9%20%D1%81%D0%B8%D1%81%D1%82%D0%B5%D0%BC%D0%B5%20%D0%B2%20%D0%9F%D1%80%D0%B8%D0%B4%D0%BD%D0%B5%D1%81%D1%82%D1%80%D0%BE%D0%B2%D1%81%D0%BA%D0%BE%D0%B9%20%D0%9C%D0%BE%D0%BB%D0%B4%D0%B0%D0%B2%D1%81%D0%BA%D0%BE%D0%B9%20%D0%A0%D0%B5%D1%81%D0%BF%D1%83%D0%B1%D0%BB%D0%B8%D0%BA%D0%B5%C2%BB%20%0A%28%D0%A1%D0%97%D0%9C%D0%A0%2097-2%29" TargetMode="External"/><Relationship Id="rId7" Type="http://schemas.openxmlformats.org/officeDocument/2006/relationships/hyperlink" Target="documents/search/doc-link/?q=%D0%BE%D1%82%207%20%D0%B8%D1%8E%D0%BD%D1%8F%20%0A2023%20%D0%B3%D0%BE%D0%B4%D0%B0%20%E2%84%96%202241%20%C2%AB%D0%9E%D0%B1%20%D1%83%D1%82%D0%B2%D0%B5%D1%80%D0%B6%D0%B4%D0%B5%D0%BD%D0%B8%D0%B8%20%D0%9A%D0%BE%D0%BD%D1%86%D0%B5%D0%BF%D1%86%D0%B8%D0%B8%20%D0%B1%D1%8E%D0%B4%D0%B6%D0%B5%D1%82%D0%BD%D0%BE%D0%B9%20%D0%B8%20%D0%BD%D0%B0%D0%BB%D0%BE%D0%B3%D0%BE%D0%B2%D0%BE%D0%B9%20%D0%BF%D0%BE%D0%BB%D0%B8%D1%82%D0%B8%D0%BA%D0%B8%20%D0%BD%D0%B0%202024%20%D0%B3%D0%BE%D0%B4%20%D0%B8%20%D1%81%D1%80%D0%B5%D0%B4%D0%BD%D0%B5%D1%81%D1%80%D0%BE%D1%87%D0%BD%D1%83%D1%8E%20%D0%BF%D0%B5%D1%80%D1%81%D0%BF%D0%B5%D0%BA%D1%82%D0%B8%D0%B2%D1%83%C2%BB%20%28%D0%A1%D0%90%D0%97%2023-23%29" TargetMode="External"/><Relationship Id="rId8" Type="http://schemas.openxmlformats.org/officeDocument/2006/relationships/hyperlink" Target="documents/search/doc-link/?q=%D0%BE%D1%82%2017%20%D0%B8%D1%8E%D0%BB%D1%8F%20%0A2024%20%D0%B3%D0%BE%D0%B4%D0%B0%20%E2%84%96%203290%20%C2%AB%D0%9E%D0%B1%20%D1%83%D1%82%D0%B2%D0%B5%D1%80%D0%B6%D0%B4%D0%B5%D0%BD%D0%B8%D0%B8%20%D0%9F%D1%80%D0%BE%D0%B3%D0%BD%D0%BE%D0%B7%D0%B0%20%D1%81%D0%BE%D1%86%D0%B8%D0%B0%D0%BB%D1%8C%D0%BD%D0%BE-%D1%8D%D0%BA%D0%BE%D0%BD%D0%BE%D0%BC%D0%B8%D1%87%D0%B5%D1%81%D0%BA%D0%BE%D0%B3%D0%BE%20%D1%80%D0%B0%D0%B7%D0%B2%D0%B8%D1%82%D0%B8%D1%8F%20%D0%9F%D1%80%D0%B8%D0%B4%D0%BD%D0%B5%D1%81%D1%82%D1%80%D0%BE%D0%B2%D1%81%D0%BA%D0%BE%D0%B9%20%D0%9C%D0%BE%D0%BB%D0%B4%D0%B0%D0%B2%D1%81%D0%BA%D0%BE%D0%B9%20%D0%A0%D0%B5%D1%81%D0%BF%D1%83%D0%B1%D0%BB%D0%B8%D0%BA%D0%B8%20%D0%BD%D0%B0%202025%20%D0%B3%D0%BE%D0%B4%C2%BB%20%28%D0%A1%D0%90%D0%97%2024-31%29" TargetMode="External"/><Relationship Id="rId9" Type="http://schemas.openxmlformats.org/officeDocument/2006/relationships/hyperlink" Target="documents/search/doc-link/?q=%D0%BE%D1%82%2017%20%D0%B8%D1%8E%D0%BB%D1%8F%202024%20%D0%B3%D0%BE%D0%B4%D0%B0%20%E2%84%96%203290%20%C2%AB%D0%9E%D0%B1%20%D1%83%D1%82%D0%B2%D0%B5%D1%80%D0%B6%D0%B4%D0%B5%D0%BD%D0%B8%D0%B8%20%D0%9F%D1%80%D0%BE%D0%B3%D0%BD%D0%BE%D0%B7%D0%B0%20%D1%81%D0%BE%D1%86%D0%B8%D0%B0%D0%BB%D1%8C%D0%BD%D0%BE-%D1%8D%D0%BA%D0%BE%D0%BD%D0%BE%D0%BC%D0%B8%D1%87%D0%B5%D1%81%D0%BA%D0%BE%D0%B3%D0%BE%20%D1%80%D0%B0%D0%B7%D0%B2%D0%B8%D1%82%D0%B8%D1%8F%20%D0%9F%D1%80%D0%B8%D0%B4%D0%BD%D0%B5%D1%81%D1%82%D1%80%D0%BE%D0%B2%D1%81%D0%BA%D0%BE%D0%B9%20%D0%9C%D0%BE%D0%BB%D0%B4%D0%B0%D0%B2%D1%81%D0%BA%D0%BE%D0%B9%20%D0%A0%D0%B5%D1%81%D0%BF%D1%83%D0%B1%D0%BB%D0%B8%D0%BA%D0%B8%20%D0%BD%D0%B0%202025%20%D0%B3%D0%BE%D0%B4%C2%BB%20%28%D0%A1%D0%90%D0%97%2024-31%29" TargetMode="External"/><Relationship Id="rId10" Type="http://schemas.openxmlformats.org/officeDocument/2006/relationships/hyperlink" Target="documents/search/doc-link/?q=%D0%BE%D1%82%2029%20%D1%81%D0%B5%D0%BD%D1%82%D1%8F%D0%B1%D1%80%D1%8F%202005%20%D0%B3%D0%BE%D0%B4%D0%B0%20%E2%84%96%20630-%D0%97-III%20%C2%AB%D0%9E%20%D0%94%D0%BE%D1%80%D0%BE%D0%B6%D0%BD%D0%BE%D0%BC%20%D1%84%D0%BE%D0%BD%D0%B4%D0%B5%20%D0%9F%D1%80%D0%B8%D0%B4%D0%BD%D0%B5%D1%81%D1%82%D1%80%D0%BE%D0%B2%D1%81%D0%BA%D0%BE%D0%B9%20%D0%9C%D0%BE%D0%BB%D0%B4%D0%B0%D0%B2%D1%81%D0%BA%D0%BE%D0%B9%20%D0%A0%D0%B5%D1%81%D0%BF%D1%83%D0%B1%D0%BB%D0%B8%D0%BA%D0%B8%C2%BB%20%28%D0%A1%D0%90%D0%97%2005-40%2C1%29" TargetMode="External"/><Relationship Id="rId11" Type="http://schemas.openxmlformats.org/officeDocument/2006/relationships/hyperlink" Target="documents/search/doc-link/?q=%D0%BE%D1%82%207%20%D0%B8%D1%8E%D0%BD%D1%8F%202023%20%D0%B3%D0%BE%D0%B4%D0%B0%20%E2%84%96%202241%20%0A%C2%AB%D0%9E%D0%B1%20%D1%83%D1%82%D0%B2%D0%B5%D1%80%D0%B6%D0%B4%D0%B5%D0%BD%D0%B8%D0%B8%20%D0%9A%D0%BE%D0%BD%D1%86%D0%B5%D0%BF%D1%86%D0%B8%D0%B8%20%D0%B1%D1%8E%D0%B4%D0%B6%D0%B5%D1%82%D0%BD%D0%BE%D0%B9%20%D0%B8%20%D0%BD%D0%B0%D0%BB%D0%BE%D0%B3%D0%BE%D0%B2%D0%BE%D0%B9%20%D0%BF%D0%BE%D0%BB%D0%B8%D1%82%D0%B8%D0%BA%D0%B8%20%D0%BD%D0%B0%202024%20%D0%B3%D0%BE%D0%B4%20%D0%B8%20%D1%81%D1%80%D0%B5%D0%B4%D0%BD%D0%B5%D1%81%D1%80%D0%BE%D1%87%D0%BD%D1%83%D1%8E%20%D0%BF%D0%B5%D1%80%D1%81%D0%BF%D0%B5%D0%BA%D1%82%D0%B8%D0%B2%D1%83%C2%BB%20%28%D0%A1%D0%90%D0%97%2023-23%29" TargetMode="External"/><Relationship Id="rId12"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D0%BD%D0%B0%202024%20%D0%B3%D0%BE%D0%B4%C2%BB%20%28%D0%A1%D0%90%D0%97%2024-1%29" TargetMode="External"/><Relationship Id="rId13" Type="http://schemas.openxmlformats.org/officeDocument/2006/relationships/hyperlink" Target="documents/search/doc-link/?q=%D0%BE%D1%82%209%20%D0%B8%D1%8E%D0%BB%D1%8F%202024%20%D0%B3%D0%BE%D0%B4%D0%B0%20%E2%84%96%20141-%D0%97%D0%98-VII" TargetMode="External"/><Relationship Id="rId14" Type="http://schemas.openxmlformats.org/officeDocument/2006/relationships/hyperlink" Target="documents/search/doc-link/?q=%D0%BE%D1%82%2024%20%D1%84%D0%B5%D0%B2%D1%80%D0%B0%D0%BB%D1%8F%201997%20%D0%B3%D0%BE%D0%B4%D0%B0%20%E2%84%96%2035-%D0%97%20%C2%AB%D0%9E%20%D0%B1%D1%8E%D0%B4%D0%B6%D0%B5%D1%82%D0%BD%D0%BE%D0%B9%20%D1%81%D0%B8%D1%81%D1%82%D0%B5%D0%BC%D0%B5%20%D0%B2%20%D0%9F%D1%80%D0%B8%D0%B4%D0%BD%D0%B5%D1%81%D1%82%D1%80%D0%BE%D0%B2%D1%81%D0%BA%D0%BE%D0%B9%20%D0%9C%D0%BE%D0%BB%D0%B4%D0%B0%D0%B2%D1%81%D0%BA%D0%BE%D0%B9%20%D0%A0%D0%B5%D1%81%D0%BF%D1%83%D0%B1%D0%BB%D0%B8%D0%BA%D0%B5%C2%BB%20%28%D0%A1%D0%97%D0%9C%D0%A0%2097-2%29" TargetMode="External"/><Relationship Id="rId15" Type="http://schemas.openxmlformats.org/officeDocument/2006/relationships/hyperlink" Target="documents/search/doc-link/?q=%D0%BE%D1%82%2017%20%D1%8F%D0%BD%D0%B2%D0%B0%D1%80%D1%8F%202018%20%D0%B3%D0%BE%D0%B4%D0%B0%20%E2%84%96%2015%20%C2%AB%D0%9E%D0%B1%20%D1%83%D1%82%D0%B2%D0%B5%D1%80%D0%B6%D0%B4%D0%B5%D0%BD%D0%B8%D0%B8%20%D0%9F%D0%BE%D0%BB%D0%BE%D0%B6%D0%B5%D0%BD%D0%B8%D1%8F%20%D0%BE%20%D0%B3%D0%BE%D1%81%D1%83%D0%B4%D0%B0%D1%80%D1%81%D1%82%D0%B2%D0%B5%D0%BD%D0%BD%D1%8B%D1%85%20%D1%81%D1%82%D0%B8%D0%BF%D0%B5%D0%BD%D0%B4%D0%B8%D1%8F%D1%85%20%D0%B8%20%D0%BF%D1%80%D0%B5%D0%BC%D0%B8%D1%8F%D1%85%20%D0%9F%D1%80%D0%B5%D0%B7%D0%B8%D0%B4%D0%B5%D0%BD%D1%82%D0%B0%20%D0%9F%D1%80%D0%B8%D0%B4%D0%BD%D0%B5%D1%81%D1%82%D1%80%D0%BE%D0%B2%D1%81%D0%BA%D0%BE%D0%B9%20%D0%9C%D0%BE%D0%BB%D0%B4%D0%B0%D0%B2%D1%81%D0%BA%D0%BE%D0%B9%20%D0%A0%D0%B5%D1%81%D0%BF%D1%83%D0%B1%D0%BB%D0%B8%D0%BA%D0%B8%C2%BB%20%28%D0%A1%D0%90%D0%97%2018-3%29" TargetMode="External"/><Relationship Id="rId16" Type="http://schemas.openxmlformats.org/officeDocument/2006/relationships/hyperlink" Target="documents/search/doc-link/?q=%D0%BE%D1%82%209%20%D0%B8%D1%8E%D0%BB%D1%8F%202024%20%D0%B3%D0%BE%D0%B4%D0%B0%20%0A%E2%84%96%20141-%D0%97%D0%98-VII" TargetMode="External"/><Relationship Id="rId17" Type="http://schemas.openxmlformats.org/officeDocument/2006/relationships/hyperlink" Target="documents/search/doc-link/?q=%D0%BE%D1%82%2010%20%D0%B8%D1%8E%D0%BB%D1%8F%202012%20%D0%B3%D0%BE%D0%B4%D0%B0%20%E2%84%96%2072%20%C2%AB%D0%9E%20%D1%80%D0%B5%D0%B3%D1%83%D0%BB%D0%B8%D1%80%D0%BE%D0%B2%D0%B0%D0%BD%D0%B8%D0%B8%20%28%D0%BD%D0%BE%D1%80%D0%BC%D0%B8%D1%80%D0%BE%D0%B2%D0%B0%D0%BD%D0%B8%D0%B8%29%20%D0%BE%D1%82%D0%B4%D0%B5%D0%BB%D1%8C%D0%BD%D1%8B%D1%85%20%D0%B2%D0%B8%D0%B4%D0%BE%D0%B2%20%D1%80%D0%B0%D1%81%D1%85%D0%BE%D0%B4%D0%BE%D0%B2%20%D0%BE%D1%80%D0%B3%D0%B0%D0%BD%D0%B0%D0%BC%D0%B8%20%D0%B3%D0%BE%D1%81%D1%83%D0%B4%D0%B0%D1%80%D1%81%D1%82%D0%B2%D0%B5%D0%BD%D0%BD%D0%BE%D0%B9%20%D0%B2%D0%BB%D0%B0%D1%81%D1%82%D0%B8%20%D0%B8%20%D1%83%D0%BF%D1%80%D0%B0%D0%B2%D0%BB%D0%B5%D0%BD%D0%B8%D1%8F%20%D0%B8%20%D0%BE%D1%80%D0%B3%D0%B0%D0%BD%D0%B8%D0%B7%D0%B0%D1%86%D0%B8%D1%8F%D0%BC%D0%B8%2C%20%D1%84%D0%B8%D0%BD%D0%B0%D0%BD%D1%81%D0%B8%D1%80%D1%83%D0%B5%D0%BC%D1%8B%D0%BC%D0%B8%20%D0%B8%D0%B7%20%D0%B1%D1%8E%D0%B4%D0%B6%D0%B5%D1%82%D0%BE%D0%B2%20%D1%80%D0%B0%D0%B7%D0%BB%D0%B8%D1%87%D0%BD%D1%8B%D1%85%20%D1%83%D1%80%D0%BE%D0%B2%D0%BD%D0%B5%D0%B9%C2%BB%20%28%D0%A1%D0%90%D0%97%2012-29%29" TargetMode="External"/><Relationship Id="rId18" Type="http://schemas.openxmlformats.org/officeDocument/2006/relationships/hyperlink" Target="documents/search/doc-link/?q=%D0%BE%D1%82%2027%20%D0%BC%D0%B0%D1%8F%202024%20%D0%B3%D0%BE%D0%B4%D0%B0%20%E2%84%96%20254%20%C2%AB%D0%9E%D0%B1%20%D1%83%D1%81%D1%82%D0%B0%D0%BD%D0%BE%D0%B2%D0%BB%D0%B5%D0%BD%D0%B8%D0%B8%20%D0%BD%D0%B0%202025%20%D0%B3%D0%BE%D0%B4%20%D0%BF%D1%80%D0%B5%D0%B4%D0%B5%D0%BB%D1%8C%D0%BD%D1%8B%D1%85%20%D1%83%D1%80%D0%BE%D0%B2%D0%BD%D0%B5%D0%B9%20%D1%82%D0%B0%D1%80%D0%B8%D1%84%D0%BE%D0%B2%20%D0%BD%D0%B0%20%D1%83%D1%81%D0%BB%D1%83%D0%B3%D0%B8%20%D0%B3%D0%B0%D0%B7%D0%BE%D1%81%D0%BD%D0%B0%D0%B1%D0%B6%D0%B5%D0%BD%D0%B8%D1%8F%2C%20%D0%BD%D0%B0%20%D1%83%D1%81%D0%BB%D1%83%D0%B3%D0%B8%20%D0%B2%20%D1%81%D1%84%D0%B5%D1%80%D0%B5%20%D1%8D%D0%BB%D0%B5%D0%BA%D1%82%D1%80%D0%BE%D1%8D%D0%BD%D0%B5%D1%80%D0%B3%D0%B5%D1%82%D0%B8%D0%BA%D0%B8%2C%20%D0%BD%D0%B0%20%D1%83%D1%81%D0%BB%D1%83%D0%B3%D0%B8%20%D0%BF%D0%BE%20%D1%81%D0%BD%D0%B0%D0%B1%D0%B6%D0%B5%D0%BD%D0%B8%D1%8E%20%D1%82%D0%B5%D0%BF%D0%BB%D0%BE%D0%B2%D0%BE%D0%B9%20%D1%8D%D0%BD%D0%B5%D1%80%D0%B3%D0%B8%D0%B5%D0%B9%20%28%D0%BE%D1%82%D0%BE%D0%BF%D0%BB%D0%B5%D0%BD%D0%B8%D0%B5%2C%20%D0%BF%D0%BE%D0%B4%D0%BE%D0%B3%D1%80%D0%B5%D0%B2%20%D0%B2%D0%BE%D0%B4%D1%8B%2C%20%D0%B3%D0%BE%D1%80%D1%8F%D1%87%D0%B5%D0%B5%20%D0%B2%D0%BE%D0%B4%D0%BE%D1%81%D0%BD%D0%B0%D0%B1%D0%B6%D0%B5%D0%BD%D0%B8%D0%B5%29%2C%20%D0%BD%D0%B0%20%D1%83%D1%81%D0%BB%D1%83%D0%B3%D0%B8%20%D0%B2%D0%BE%D0%B4%D0%BE%D1%81%D0%BD%D0%B0%D0%B1%D0%B6%D0%B5%D0%BD%D0%B8%D1%8F%20%D0%B8%20%D0%B2%D0%BE%D0%B4%D0%BE%D0%BE%D1%82%D0%B2%D0%B5%D0%B4%D0%B5%D0%BD%D0%B8%D1%8F%20%28%D0%BA%D0%B0%D0%BD%D0%B0%D0%BB%D0%B8%D0%B7%D0%B0%D1%86%D0%B8%D1%8F%29%C2%BB%20%28%D0%A1%D0%90%D0%97%2024-23%29" TargetMode="External"/><Relationship Id="rId19" Type="http://schemas.openxmlformats.org/officeDocument/2006/relationships/hyperlink" Target="documents/search/doc-link/?q=%D0%BE%D1%82%2011%20%D0%BC%D0%B0%D1%8F%202006%20%D0%B3%D0%BE%D0%B4%D0%B0%20%E2%84%96%2026-%D0%97-IV%20%C2%AB%D0%9E%20%D0%B3%D0%BE%D1%81%D1%83%D0%B4%D0%B0%D1%80%D1%81%D1%82%D0%B2%D0%B5%D0%BD%D0%BD%D0%BE%D0%B9%20%D0%BF%D0%BE%D0%B4%D0%B4%D0%B5%D1%80%D0%B6%D0%BA%D0%B5%20%D0%BC%D0%BD%D0%BE%D0%B3%D0%BE%D0%B4%D0%B5%D1%82%D0%BD%D1%8B%D1%85%20%D1%81%D0%B5%D0%BC%D0%B5%D0%B9%C2%BB%20%28%D0%A1%D0%90%D0%97%2006-20%29" TargetMode="External"/><Relationship Id="rId20" Type="http://schemas.openxmlformats.org/officeDocument/2006/relationships/hyperlink" Target="documents/search/doc-link/?q=%D0%BE%D1%82%205%20%D1%8F%D0%BD%D0%B2%D0%B0%D1%80%D1%8F%202001%20%D0%B3%D0%BE%D0%B4%D0%B0%20%E2%84%96%20371-%D0%97%20%C2%AB%D0%9E%20%D1%81%D1%82%D0%B0%D1%82%D1%83%D1%81%D0%B5%20%D0%B2%D0%BE%D0%B5%D0%BD%D0%BD%D0%BE%D1%81%D0%BB%D1%83%D0%B6%D0%B0%D1%89%D0%B8%D1%85%C2%BB%20%28%D0%A1%D0%97%D0%9C%D0%A0%2001-1%29" TargetMode="External"/><Relationship Id="rId21" Type="http://schemas.openxmlformats.org/officeDocument/2006/relationships/hyperlink" Target="documents/search/doc-link/?q=%D0%BE%D1%82%2027%20%D0%BD%D0%BE%D1%8F%D0%B1%D1%80%D1%8F%202020%20%D0%B3%D0%BE%D0%B4%D0%B0%20%E2%84%96%20207-%D0%97-VI" TargetMode="External"/><Relationship Id="rId22" Type="http://schemas.openxmlformats.org/officeDocument/2006/relationships/hyperlink" Target="documents/search/doc-link/?q=%D0%BE%D1%82%201%20%D0%B4%D0%B5%D0%BA%D0%B0%D0%B1%D1%80%D1%8F%202020%20%D0%B3%D0%BE%D0%B4%D0%B0%20%E2%84%96%20209-%D0%97-VI" TargetMode="External"/><Relationship Id="rId23" Type="http://schemas.openxmlformats.org/officeDocument/2006/relationships/hyperlink" Target="documents/search/doc-link/?q=%D0%BE%D1%82%2030%20%D0%B4%D0%B5%D0%BA%D0%B0%D0%B1%D1%80%D1%8F%202020%20%D0%B3%D0%BE%D0%B4%D0%B0%20%E2%84%96%20239-%D0%97-VII" TargetMode="External"/><Relationship Id="rId24" Type="http://schemas.openxmlformats.org/officeDocument/2006/relationships/hyperlink" Target="documents/search/doc-link/?q=%D0%BE%D1%82%2028%20%D0%B4%D0%B5%D0%BA%D0%B0%D0%B1%D1%80%D1%8F%202021%20%D0%B3%D0%BE%D0%B4%D0%B0%20%E2%84%96%20359-%D0%97-VII" TargetMode="External"/><Relationship Id="rId25" Type="http://schemas.openxmlformats.org/officeDocument/2006/relationships/hyperlink" Target="documents/search/doc-link/?q=%D0%BE%D1%82%2027%20%D0%B0%D0%BF%D1%80%D0%B5%D0%BB%D1%8F%202017%20%D0%B3%D0%BE%D0%B4%D0%B0%20%E2%84%96%2089-%D0%97-VI" TargetMode="External"/><Relationship Id="rId26" Type="http://schemas.openxmlformats.org/officeDocument/2006/relationships/hyperlink" Target="documents/search/doc-link/?q=%D0%BE%D1%82%2026%20%D0%B8%D1%8E%D0%BB%D1%8F%202021%20%D0%B3%D0%BE%D0%B4%D0%B0%20%E2%84%96%20185-%D0%97-VII" TargetMode="External"/><Relationship Id="rId27" Type="http://schemas.openxmlformats.org/officeDocument/2006/relationships/hyperlink" Target="documents/search/doc-link/?q=%D0%BE%D1%82%204%20%D0%BD%D0%BE%D1%8F%D0%B1%D1%80%D1%8F%202020%20%D0%B3%D0%BE%D0%B4%D0%B0%20%E2%84%96%20181-%D0%97-VI" TargetMode="External"/><Relationship Id="rId28" Type="http://schemas.openxmlformats.org/officeDocument/2006/relationships/hyperlink" Target="documents/search/doc-link/?q=%D0%BE%D1%82%2013%20%D0%B8%D1%8E%D0%BB%D1%8F%202021%20%D0%B3%D0%BE%D0%B4%D0%B0%20%E2%84%96%20152-%D0%97-VII" TargetMode="External"/><Relationship Id="rId29" Type="http://schemas.openxmlformats.org/officeDocument/2006/relationships/hyperlink" Target="documents/search/doc-link/?q=%D0%BE%D1%82%2026%20%D0%B8%D1%8E%D0%BB%D1%8F%202021%20%D0%B3%D0%BE%D0%B4%D0%B0%20%E2%84%96%20193-%D0%97-VII%20%C2%AB%D0%9E%D0%B1%20%D1%83%D1%82%D0%B2%D0%B5%D1%80%D0%B6%D0%B4%D0%B5%D0%BD%D0%B8%D0%B8%20%D0%B3%D0%BE%D1%81%D1%83%D0%B4%D0%B0%D1%80%D1%81%D1%82%D0%B2%D0%B5%D0%BD%D0%BD%D0%BE%D0%B9%20%D0%BF%D1%80%D0%BE%D0%B3%D1%80%D0%B0%D0%BC%D0%BC%D1%8B%20%D1%80%D0%B0%D0%B7%D0%B2%D0%B8%D1%82%D0%B8%D1%8F%20%D0%BC%D0%B8%D0%BD%D0%B5%D1%80%D0%B0%D0%BB%D1%8C%D0%BD%D0%BE-%D1%81%D1%8B%D1%80%D1%8C%D0%B5%D0%B2%D0%BE%D0%B9%20%D0%B1%D0%B0%D0%B7%D1%8B%2C%20%D1%80%D0%B0%D1%86%D0%B8%D0%BE%D0%BD%D0%B0%D0%BB%D1%8C%D0%BD%D0%BE%D0%B3%D0%BE%20%D0%B8%20%D0%BA%D0%BE%D0%BC%D0%BF%D0%BB%D0%B5%D0%BA%D1%81%D0%BD%D0%BE%D0%B3%D0%BE%20%D0%B8%D1%81%D0%BF%D0%BE%D0%BB%D1%8C%D0%B7%D0%BE%D0%B2%D0%B0%D0%BD%D0%B8%D1%8F%20%D0%BC%D0%B8%D0%BD%D0%B5%D1%80%D0%B0%D0%BB%D1%8C%D0%BD%D1%8B%D1%85%20%D1%80%D0%B5%D1%81%D1%83%D1%80%D1%81%D0%BE%D0%B2%20%D0%B8%20%D0%BE%D1%85%D1%80%D0%B0%D0%BD%D1%8B%20%D0%BD%D0%B5%D0%B4%D1%80%20%D0%9F%D1%80%D0%B8%D0%B4%D0%BD%D0%B5%D1%81%D1%82%D1%80%D0%BE%D0%B2%D1%81%D0%BA%D0%BE%D0%B9%20%D0%9C%D0%BE%D0%BB%D0%B4%D0%B0%D0%B2%D1%81%D0%BA%D0%BE%D0%B9%20%D0%A0%D0%B5%D1%81%D0%BF%D1%83%D0%B1%D0%BB%D0%B8%D0%BA%D0%B8%20%D0%BD%D0%B0%202022-2026%20%D0%B3%D0%BE%D0%B4%D1%8B%C2%BB%20%28%D0%A1%D0%90%D0%97%2021-30%29" TargetMode="External"/><Relationship Id="rId30" Type="http://schemas.openxmlformats.org/officeDocument/2006/relationships/hyperlink" Target="documents/search/doc-link/?q=%D0%BE%D1%82%2026%20%D0%B4%D0%B5%D0%BA%D0%B0%D0%B1%D1%80%D1%8F%202023%20%D0%B3%D0%BE%D0%B4%D0%B0%20%E2%84%96%20397-%D0%97-VII" TargetMode="External"/><Relationship Id="rId31" Type="http://schemas.openxmlformats.org/officeDocument/2006/relationships/hyperlink" Target="documents/search/doc-link/?q=%D0%BE%D1%82%2030%20%D0%BC%D0%B0%D1%8F%202024%20%D0%B3%D0%BE%D0%B4%D0%B0%20%E2%84%96%2099-%D0%97-VII" TargetMode="External"/><Relationship Id="rId32" Type="http://schemas.openxmlformats.org/officeDocument/2006/relationships/hyperlink" Target="documents/search/doc-link/?q=%D0%BE%D1%82%2025%20%D0%B4%D0%B5%D0%BA%D0%B0%D0%B1%D1%80%D1%8F%202023%20%D0%B3%D0%BE%D0%B4%D0%B0%20%E2%84%96%20387-%D0%97-VII%20%C2%AB%D0%93%D0%BE%D1%81%D1%83%D0%B4%D0%B0%D1%80%D1%81%D1%82%D0%B2%D0%B5%D0%BD%D0%BD%D0%B0%D1%8F%20%D0%BF%D1%80%D0%BE%D0%B3%D1%80%D0%B0%D0%BC%D0%BC%D0%B0%20%D1%80%D0%B0%D0%B7%D0%B3%D0%BE%D1%81%D1%83%D0%B4%D0%B0%D1%80%D1%81%D1%82%D0%B2%D0%BB%D0%B5%D0%BD%D0%B8%D1%8F%20%D0%B8%20%D0%BF%D1%80%D0%B8%D0%B2%D0%B0%D1%82%D0%B8%D0%B7%D0%B0%D1%86%D0%B8%D0%B8%20%D0%B2%20%D0%9F%D1%80%D0%B8%D0%B4%D0%BD%D0%B5%D1%81%D1%82%D1%80%D0%BE%D0%B2%D1%81%D0%BA%D0%BE%D0%B9%20%D0%9C%D0%BE%D0%BB%D0%B4%D0%B0%D0%B2%D1%81%D0%BA%D0%BE%D0%B9%20%D0%A0%D0%B5%D1%81%D0%BF%D1%83%D0%B1%D0%BB%D0%B8%D0%BA%D0%B5%20%D0%BD%D0%B0%202024%E2%80%932025%20%D0%B3%D0%BE%D0%B4%D1%8B%C2%BB%20%28%D0%A1%D0%90%D0%97%2024-1%29" TargetMode="External"/><Relationship Id="rId33" Type="http://schemas.openxmlformats.org/officeDocument/2006/relationships/hyperlink" Target="documents/search/doc-link/?q=%D0%BE%D1%82%2012%20%D0%B4%D0%B5%D0%BA%D0%B0%D0%B1%D1%80%D1%8F%202018%20%D0%B3%D0%BE%D0%B4%D0%B0%20%E2%84%96%20460%20%C2%AB%D0%9E%D0%B1%20%D1%83%D1%82%D0%B2%D0%B5%D1%80%D0%B6%D0%B4%D0%B5%D0%BD%D0%B8%D0%B8%20%D0%A1%D1%82%D1%80%D0%B0%D1%82%D0%B5%D0%B3%D0%B8%D0%B8%20%D1%80%D0%B0%D0%B7%D0%B2%D0%B8%D1%82%D0%B8%D1%8F%20%D0%9F%D1%80%D0%B8%D0%B4%D0%BD%D0%B5%D1%81%D1%82%D1%80%D0%BE%D0%B2%D1%81%D0%BA%D0%BE%D0%B9%20%D0%9C%D0%BE%D0%BB%D0%B4%D0%B0%D0%B2%D1%81%D0%BA%D0%BE%D0%B9%20%D0%A0%D0%B5%D1%81%D0%BF%D1%83%D0%B1%D0%BB%D0%B8%D0%BA%D0%B8%20%D0%BD%D0%B0%202019-2026%20%D0%B3%D0%BE%D0%B4%D1%8B%C2%BB"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3920</Words>
  <Characters>29027</Characters>
  <CharactersWithSpaces>32918</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