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Инструкции о практическом применении норм части второй пункта 5 статьи 50 и пункта 1 статьи 51 Закона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Style w:val="Strong"/>
          <w:rFonts w:ascii="times new roman;times" w:hAnsi="times new roman;times"/>
          <w:sz w:val="24"/>
        </w:rPr>
        <w:t xml:space="preserve"> и иных связанных с ними положений законодательства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12266 от 6 февраля 2024 года) (САЗ 24-7)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2022</w:t>
        </w:r>
      </w:hyperlink>
      <w:r>
        <w:rPr>
          <w:rFonts w:ascii="times new roman;times" w:hAnsi="times new roman;times"/>
          <w:sz w:val="24"/>
        </w:rPr>
        <w:t xml:space="preserve"> года № 196 (САЗ 22-21),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в целях уточнения порядка применения нормы пункта 1 статьи 51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8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о практическом применении норм части второй пункта 5 статьи 50 и пункта 1 статьи 51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 и иных связанных с ними положений законодательства Приднестровской Молдавской Республики» (регистрационный № 12266 от 6 февраля 2024 года) (САЗ 24-7)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первую пункта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Для работников органов государственной власти и управления, государственных органов, органов местного самоуправления, внебюджетных фондов и организаций, не реализующих в 2024 году пилотный проект в соответствии со статьей 59 Закона о республиканском бюджете, заработная плата которых финансируется из бюджетов различных уровней и внебюджетных фондов,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служащих, применяющих величину 1 расчетного уровня минимальной заработной платы в размере 7,9 рубля в соответствии с подпунктом а) пункта 1, подпунктом 1) подпункта м) пункта 1 статьи 50 Закона о республиканском бюджете, или в размере 8,8 рубля в соответствии с подпунктом 1) подпункта з) пункта 1,  подпунктом а) подпункта 1) подпункта з-1) пункта 1 статьи 50 Закона о республиканском бюджете, или в размере 11 рублей в соответствии с подпунктом а) подпункта 2) подпункта з-1) пункта 1 статьи 50 Закона о республиканском бюджете, за исключением случаев, установленных частью второй настоящего пункта, нормы пункта 1 статьи 51 Закона о республиканскомбюджете, применять в следующем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денежное содержание государственных гражданских служащих увеличивается на величину доплаты в размере 11,5 % от оклада денежного содержания лиц, имеющих статус государственных гражданских служащих;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денежное довольствие военнослужащих и лиц, приравненных к ним по условиям выплат денежного довольствия, увеличивается на величину доплаты в размере 13 % от оклада денежного содержания военнослужащих и лиц, к ним приравненных по условиям выплат денежного довольствия;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заработная плата иных работников бюджетной сферы увеличивается на величину доплаты в размере 11,5 % от должностного оклада;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заработная плата работников, получающих доплаты до величины МРОТ, увеличивается на величину доплаты в размере 108,30 рублей. При этом на работников, указанных в настоящем подпункте, не распространяются нормы, установленные подпунктами а) - в) настоящего 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1%8F%D0%BD%D0%B2%D0%B0%D1%80%D1%8F%202024%20%D0%B3%D0%BE%D0%B4%D0%B0%20%E2%84%96%208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2022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768</Words>
  <Characters>4508</Characters>
  <CharactersWithSpaces>5316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