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 </w:t>
      </w:r>
      <w:r>
        <w:rPr>
          <w:rStyle w:val="Strong"/>
          <w:rFonts w:ascii="times new roman;times" w:hAnsi="times new roman;times"/>
          <w:sz w:val="24"/>
        </w:rPr>
        <w:t>Об утверждении Перечня документов, удостоверяющих личность и позволяющих установить возраст покупателя, приобретающего табачную продукцию или никотинсодержающую продукцию, кальяны и устройства для потребления никотинсодержащей продукции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пунктом 2 статьи 9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25-З-V «Об охране здоровья граждан от воздействия окружающего табачного дыма и последствий потребления табака или потребления никотинсодержащей продукции» (САЗ 15-3)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Перечень документов, удостоверяющих личность и позволяющих установить возраст покупателя, приобретающего табачную продукцию или никотинсодержащую продукцию, кальяны и устройства для потребления никотинсодержащей продукции,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С. ДОЛГАНОВА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661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19 сентября 2024 года № 661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документов, удостоверяющих личность и позволяющих установить возраст покупателя, приобретающего табачную продукцию или никотинсодержащую продукцию, кальяны и устройства для потребления никотинсодержащей продукции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Для граждан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паспорт гражданина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паспорт гражданина СССР, содержащий указание на принадлежность к гражданству Приднестровской Молдавской Республики (наличие отметки, вкладыша о гражданстве Приднестровской Молдавской Республики и так далее);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военный билет для военнослужащих, проходящих военную службу по призыву;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справка об освобождении для лиц, освободившихся из мест лишения свободы;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временное удостоверение личности, форма которого устанавливается Министерством внутренних дел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Для иностранных граждан - действительные документы, удостоверяющие личность иностранного гражданина, предназначенные для использования за рубежом (заграничный, служебный паспорт, паспорт моряка) и иные документы, если это предусмотрено международным договором Приднестровской Молдавской Республики или нормативными правовыми актами Президента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Для лиц без гражданства: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документ, выданный иностранным государством в качестве документа, удостоверяющего личность лица без гражданства;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разрешение на временное проживание;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вид на жительство;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удостоверение беженца;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иной документ, признаваемый в Приднестровской Молдавской Республике в качестве документа, удостоверяющего личность лица без гражданства в соответствии с действующим законодательством Приднестровской Молдавской Республики или международным договором Приднестровской Молдавской Республики.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1%8F%D0%BD%D0%B2%D0%B0%D1%80%D1%8F%202015%20%D0%B3%D0%BE%D0%B4%D0%B0%20%E2%84%96%2025-%D0%97-V%20%C2%AB%D0%9E%D0%B1%20%D0%BE%D1%85%D1%80%D0%B0%D0%BD%D0%B5%20%D0%B7%D0%B4%D0%BE%D1%80%D0%BE%D0%B2%D1%8C%D1%8F%20%D0%B3%D1%80%D0%B0%D0%B6%D0%B4%D0%B0%D0%BD%20%D0%BE%D1%82%20%D0%B2%D0%BE%D0%B7%D0%B4%D0%B5%D0%B9%D1%81%D1%82%D0%B2%D0%B8%D1%8F%20%D0%BE%D0%BA%D1%80%D1%83%D0%B6%D0%B0%D1%8E%D1%89%D0%B5%D0%B3%D0%BE%20%D1%82%D0%B0%D0%B1%D0%B0%D1%87%D0%BD%D0%BE%D0%B3%D0%BE%20%D0%B4%D1%8B%D0%BC%D0%B0%20%D0%B8%20%D0%BF%D0%BE%D1%81%D0%BB%D0%B5%D0%B4%D1%81%D1%82%D0%B2%D0%B8%D0%B9%20%D0%BF%D0%BE%D1%82%D1%80%D0%B5%D0%B1%D0%BB%D0%B5%D0%BD%D0%B8%D1%8F%20%D1%82%D0%B0%D0%B1%D0%B0%D0%BA%D0%B0%20%D0%B8%D0%BB%D0%B8%20%D0%BF%D0%BE%D1%82%D1%80%D0%B5%D0%B1%D0%BB%D0%B5%D0%BD%D0%B8%D1%8F%20%D0%BD%D0%B8%D0%BA%D0%BE%D1%82%D0%B8%D0%BD%D1%81%D0%BE%D0%B4%D0%B5%D1%80%D0%B6%D0%B0%D1%89%D0%B5%D0%B9%20%D0%BF%D1%80%D0%BE%D0%B4%D1%83%D0%BA%D1%86%D0%B8%D0%B8%C2%BB%20%28%D0%A1%D0%90%D0%97%2015-3%29" TargetMode="External"/><Relationship Id="rId6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7" Type="http://schemas.openxmlformats.org/officeDocument/2006/relationships/hyperlink" Target="documents/search/doc-link/?q=%D0%BE%D1%82%2019%20%D1%81%D0%B5%D0%BD%D1%82%D1%8F%D0%B1%D1%80%D1%8F%202024%20%D0%B3%D0%BE%D0%B4%D0%B0%20%E2%84%96%2066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374</Words>
  <Characters>2931</Characters>
  <CharactersWithSpaces>3335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