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ГОСУДАРСТВЕННОГО ТАМОЖЕННОГО КОМИТЕТА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Порядка таможенного декларирования</w:t>
      </w:r>
    </w:p>
    <w:p>
      <w:pPr>
        <w:pStyle w:val="BodyTextoutside-table"/>
        <w:bidi w:val="0"/>
        <w:spacing w:before="0" w:after="283"/>
        <w:ind w:firstLine="709" w:left="0" w:right="0"/>
        <w:jc w:val="center"/>
        <w:rPr/>
      </w:pPr>
      <w:r>
        <w:rPr>
          <w:rStyle w:val="Strong"/>
          <w:rFonts w:ascii="times new roman;times" w:hAnsi="times new roman;times"/>
          <w:sz w:val="24"/>
        </w:rPr>
        <w:t>наличной валюты и ценных бумаг при перемещении через таможенную границу 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10 апреля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12388</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главой 32 Таможенного кодекса Приднестровской Молдавской Республики, Законом Приднестровской Молдавской Республики от 6 июня 1995 года «О валютном регулировании и валютном контроле» (СЗМР 95-2), Положением Приднестровского Республиканского банка </w:t>
      </w:r>
      <w:hyperlink r:id="rId5">
        <w:r>
          <w:rPr>
            <w:rFonts w:ascii="times new roman;times" w:hAnsi="times new roman;times"/>
            <w:sz w:val="24"/>
            <w:color w:val="0563C1"/>
            <w:u w:val="single"/>
          </w:rPr>
          <w:t xml:space="preserve">от 31 января 2001 года № 9-П «О порядке ввоза в Приднестровскую Молдавскую Республику и вывоза из Приднестровской Молдавской Республики наличной иностранной валюты и ценных бумаг в иностранной валюте»</w:t>
        </w:r>
      </w:hyperlink>
      <w:r>
        <w:rPr>
          <w:rFonts w:ascii="times new roman;times" w:hAnsi="times new roman;times"/>
          <w:sz w:val="24"/>
        </w:rPr>
        <w:t xml:space="preserve"> (регистрационный № 1401 от 12 февраля 2002 года) (САЗ 02-7) с изменениями и дополнениями, внесенными указаниями Приднестровского республиканского банка </w:t>
      </w:r>
      <w:hyperlink r:id="rId6">
        <w:r>
          <w:rPr>
            <w:rFonts w:ascii="times new roman;times" w:hAnsi="times new roman;times"/>
            <w:sz w:val="24"/>
            <w:color w:val="0563C1"/>
            <w:u w:val="single"/>
          </w:rPr>
          <w:t xml:space="preserve">от 22 мая 2002 года № 60-У</w:t>
        </w:r>
      </w:hyperlink>
      <w:r>
        <w:rPr>
          <w:rFonts w:ascii="times new roman;times" w:hAnsi="times new roman;times"/>
          <w:sz w:val="24"/>
        </w:rPr>
        <w:t xml:space="preserve"> (регистрационный № 1560 от 21 июня 2002 года) (САЗ 02-25); </w:t>
      </w:r>
      <w:hyperlink r:id="rId7">
        <w:r>
          <w:rPr>
            <w:rFonts w:ascii="times new roman;times" w:hAnsi="times new roman;times"/>
            <w:sz w:val="24"/>
            <w:color w:val="0563C1"/>
            <w:u w:val="single"/>
          </w:rPr>
          <w:t xml:space="preserve">от 14 января 2004 года № 118-У</w:t>
        </w:r>
      </w:hyperlink>
      <w:r>
        <w:rPr>
          <w:rFonts w:ascii="times new roman;times" w:hAnsi="times new roman;times"/>
          <w:sz w:val="24"/>
        </w:rPr>
        <w:t xml:space="preserve"> (регистрационный № 2626 от 27 февраля 2004 года) (САЗ 04-9); </w:t>
      </w:r>
      <w:hyperlink r:id="rId8">
        <w:r>
          <w:rPr>
            <w:rFonts w:ascii="times new roman;times" w:hAnsi="times new roman;times"/>
            <w:sz w:val="24"/>
            <w:color w:val="0563C1"/>
            <w:u w:val="single"/>
          </w:rPr>
          <w:t xml:space="preserve">от 8 августа 2006 года № 206-У</w:t>
        </w:r>
      </w:hyperlink>
      <w:r>
        <w:rPr>
          <w:rFonts w:ascii="times new roman;times" w:hAnsi="times new roman;times"/>
          <w:sz w:val="24"/>
        </w:rPr>
        <w:t xml:space="preserve"> (регистрационный № 3690 от 25 сентября 2006 года) (САЗ 06-40); </w:t>
      </w:r>
      <w:hyperlink r:id="rId9">
        <w:r>
          <w:rPr>
            <w:rFonts w:ascii="times new roman;times" w:hAnsi="times new roman;times"/>
            <w:sz w:val="24"/>
            <w:color w:val="0563C1"/>
            <w:u w:val="single"/>
          </w:rPr>
          <w:t xml:space="preserve">от 10 октября 2008 года № 275-У</w:t>
        </w:r>
      </w:hyperlink>
      <w:r>
        <w:rPr>
          <w:rFonts w:ascii="times new roman;times" w:hAnsi="times new roman;times"/>
          <w:sz w:val="24"/>
        </w:rPr>
        <w:t xml:space="preserve"> (регистрационный № 4776 от 24 марта 2009 года) (САЗ 09-13); </w:t>
      </w:r>
      <w:hyperlink r:id="rId10">
        <w:r>
          <w:rPr>
            <w:rFonts w:ascii="times new roman;times" w:hAnsi="times new roman;times"/>
            <w:sz w:val="24"/>
            <w:color w:val="0563C1"/>
            <w:u w:val="single"/>
          </w:rPr>
          <w:t xml:space="preserve">от 26 августа 2010 года № 398-У</w:t>
        </w:r>
      </w:hyperlink>
      <w:r>
        <w:rPr>
          <w:rFonts w:ascii="times new roman;times" w:hAnsi="times new roman;times"/>
          <w:sz w:val="24"/>
        </w:rPr>
        <w:t xml:space="preserve"> (регистрационный № 5387 от 21 сентября 2010 года) (САЗ 10-38); </w:t>
      </w:r>
      <w:hyperlink r:id="rId11">
        <w:r>
          <w:rPr>
            <w:rFonts w:ascii="times new roman;times" w:hAnsi="times new roman;times"/>
            <w:sz w:val="24"/>
            <w:color w:val="0563C1"/>
            <w:u w:val="single"/>
          </w:rPr>
          <w:t xml:space="preserve">от 3 марта 2011 года № 442-У</w:t>
        </w:r>
      </w:hyperlink>
      <w:r>
        <w:rPr>
          <w:rFonts w:ascii="times new roman;times" w:hAnsi="times new roman;times"/>
          <w:sz w:val="24"/>
        </w:rPr>
        <w:t xml:space="preserve"> (регистрационный № 5600 от 19 апреля 2011 года) (САЗ 11-16); </w:t>
      </w:r>
      <w:hyperlink r:id="rId12">
        <w:r>
          <w:rPr>
            <w:rFonts w:ascii="times new roman;times" w:hAnsi="times new roman;times"/>
            <w:sz w:val="24"/>
            <w:color w:val="0563C1"/>
            <w:u w:val="single"/>
          </w:rPr>
          <w:t xml:space="preserve">от 20 февраля 2013 года № 666-У</w:t>
        </w:r>
      </w:hyperlink>
      <w:r>
        <w:rPr>
          <w:rFonts w:ascii="times new roman;times" w:hAnsi="times new roman;times"/>
          <w:sz w:val="24"/>
        </w:rPr>
        <w:t xml:space="preserve"> (регистрационный № 6381 от 9 апреля 2013 года) (САЗ 13-14); </w:t>
      </w:r>
      <w:hyperlink r:id="rId13">
        <w:r>
          <w:rPr>
            <w:rFonts w:ascii="times new roman;times" w:hAnsi="times new roman;times"/>
            <w:sz w:val="24"/>
            <w:color w:val="0563C1"/>
            <w:u w:val="single"/>
          </w:rPr>
          <w:t xml:space="preserve">от 21 ноября 2013 года № 732-У</w:t>
        </w:r>
      </w:hyperlink>
      <w:r>
        <w:rPr>
          <w:rFonts w:ascii="times new roman;times" w:hAnsi="times new roman;times"/>
          <w:sz w:val="24"/>
        </w:rPr>
        <w:t xml:space="preserve"> (регистрационный № 6662 от 27 декабря 2013 года) (САЗ 13-51); </w:t>
      </w:r>
      <w:hyperlink r:id="rId14">
        <w:r>
          <w:rPr>
            <w:rFonts w:ascii="times new roman;times" w:hAnsi="times new roman;times"/>
            <w:sz w:val="24"/>
            <w:color w:val="0563C1"/>
            <w:u w:val="single"/>
          </w:rPr>
          <w:t xml:space="preserve">от 26 декабря 2014 года № 825-У</w:t>
        </w:r>
      </w:hyperlink>
      <w:r>
        <w:rPr>
          <w:rFonts w:ascii="times new roman;times" w:hAnsi="times new roman;times"/>
          <w:sz w:val="24"/>
        </w:rPr>
        <w:t xml:space="preserve"> (регистрационный № 6995 от 30 декабря 2014 года) (САЗ 15-1); </w:t>
      </w:r>
      <w:hyperlink r:id="rId15">
        <w:r>
          <w:rPr>
            <w:rFonts w:ascii="times new roman;times" w:hAnsi="times new roman;times"/>
            <w:sz w:val="24"/>
            <w:color w:val="0563C1"/>
            <w:u w:val="single"/>
          </w:rPr>
          <w:t xml:space="preserve">от 9 марта 2016 года № 898-У</w:t>
        </w:r>
      </w:hyperlink>
      <w:r>
        <w:rPr>
          <w:rFonts w:ascii="times new roman;times" w:hAnsi="times new roman;times"/>
          <w:sz w:val="24"/>
        </w:rPr>
        <w:t xml:space="preserve"> (регистрационный № 7396 от 6 апреля 2016 года) (САЗ 16-14); </w:t>
      </w:r>
      <w:hyperlink r:id="rId16">
        <w:r>
          <w:rPr>
            <w:rFonts w:ascii="times new roman;times" w:hAnsi="times new roman;times"/>
            <w:sz w:val="24"/>
            <w:color w:val="0563C1"/>
            <w:u w:val="single"/>
          </w:rPr>
          <w:t xml:space="preserve">от 26 января 2018 года № 1034-У</w:t>
        </w:r>
      </w:hyperlink>
      <w:r>
        <w:rPr>
          <w:rFonts w:ascii="times new roman;times" w:hAnsi="times new roman;times"/>
          <w:sz w:val="24"/>
        </w:rPr>
        <w:t xml:space="preserve"> (регистрационный № 8117 от 30 января 2018 года) (САЗ 18-5); </w:t>
      </w:r>
      <w:hyperlink r:id="rId17">
        <w:r>
          <w:rPr>
            <w:rFonts w:ascii="times new roman;times" w:hAnsi="times new roman;times"/>
            <w:sz w:val="24"/>
            <w:color w:val="0563C1"/>
            <w:u w:val="single"/>
          </w:rPr>
          <w:t xml:space="preserve">от 16 февраля 2018 года № 1044-У</w:t>
        </w:r>
      </w:hyperlink>
      <w:r>
        <w:rPr>
          <w:rFonts w:ascii="times new roman;times" w:hAnsi="times new roman;times"/>
          <w:sz w:val="24"/>
        </w:rPr>
        <w:t xml:space="preserve"> (регистрационный № 8175 от 12 марта 2018 года (САЗ 18-11), Положением Приднестровского республиканского банка </w:t>
      </w:r>
      <w:hyperlink r:id="rId18">
        <w:r>
          <w:rPr>
            <w:rFonts w:ascii="times new roman;times" w:hAnsi="times new roman;times"/>
            <w:sz w:val="24"/>
            <w:color w:val="0563C1"/>
            <w:u w:val="single"/>
          </w:rPr>
          <w:t xml:space="preserve">от 4 апреля 2006 года № 35-П «О порядке ввоза в Приднестровскую Молдавскую Республику и вывоза из Приднестровской Молдавской Республики наличной валюты Приднестровской Молдавской Республики физическими лицами»</w:t>
        </w:r>
      </w:hyperlink>
      <w:r>
        <w:rPr>
          <w:rFonts w:ascii="times new roman;times" w:hAnsi="times new roman;times"/>
          <w:sz w:val="24"/>
        </w:rPr>
        <w:t xml:space="preserve"> (регистрационный № 3559 от 11 мая 2006 года) (САЗ 06-20) с изменениями, внесенными указаниями Приднестровского республиканского банка </w:t>
      </w:r>
      <w:hyperlink r:id="rId19">
        <w:r>
          <w:rPr>
            <w:rFonts w:ascii="times new roman;times" w:hAnsi="times new roman;times"/>
            <w:sz w:val="24"/>
            <w:color w:val="0563C1"/>
            <w:u w:val="single"/>
          </w:rPr>
          <w:t xml:space="preserve">от 15 мая 2007 года № 244-У</w:t>
        </w:r>
      </w:hyperlink>
      <w:r>
        <w:rPr>
          <w:rFonts w:ascii="times new roman;times" w:hAnsi="times new roman;times"/>
          <w:sz w:val="24"/>
        </w:rPr>
        <w:t xml:space="preserve"> (регистрационный № 3946 от 5 июня 2007 года) (САЗ 07-24); </w:t>
      </w:r>
      <w:hyperlink r:id="rId20">
        <w:r>
          <w:rPr>
            <w:rFonts w:ascii="times new roman;times" w:hAnsi="times new roman;times"/>
            <w:sz w:val="24"/>
            <w:color w:val="0563C1"/>
            <w:u w:val="single"/>
          </w:rPr>
          <w:t xml:space="preserve">от 13 ноября 2019 года № 1204-У</w:t>
        </w:r>
      </w:hyperlink>
      <w:r>
        <w:rPr>
          <w:rFonts w:ascii="times new roman;times" w:hAnsi="times new roman;times"/>
          <w:sz w:val="24"/>
        </w:rPr>
        <w:t xml:space="preserve"> (регистрационный № 9302 от 24 января 2019 года) (САЗ 20-4), приказываю: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Утвердить Порядок таможенного декларирования наличной валюты и ценных бумаг при перемещении через таможенную границу Приднестровской Молдавской Республики согласно Приложению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Правовому управлению Государственного таможенного комитета Приднестровской Молдавской Республики направить настоящий Приказ для государственной регистрации и официального опубликования в Министерство юстиции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Отделу по таможенному сотрудничеству Государственного таможенного комитета Приднестровской Молдавской Республики обеспечить размещение настоящего Приказа на официальном сайте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 1 мая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В. ГРАБКО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марта 2024 г.</w:t>
      </w:r>
    </w:p>
    <w:p>
      <w:pPr>
        <w:pStyle w:val="BodyTextoutside-table"/>
        <w:bidi w:val="0"/>
        <w:spacing w:before="0" w:after="283"/>
        <w:ind w:firstLine="709" w:left="0" w:right="0"/>
        <w:jc w:val="left"/>
        <w:rPr/>
      </w:pPr>
      <w:r>
        <w:rPr/>
        <w:t xml:space="preserve">№ </w:t>
      </w:r>
      <w:r>
        <w:rPr>
          <w:rFonts w:ascii="times new roman;times" w:hAnsi="times new roman;times"/>
          <w:sz w:val="24"/>
        </w:rPr>
        <w:t>92</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Государственного таможенного комитета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21">
        <w:r>
          <w:rPr>
            <w:rFonts w:ascii="times new roman;times" w:hAnsi="times new roman;times"/>
            <w:sz w:val="20"/>
            <w:color w:val="0563C1"/>
            <w:u w:val="single"/>
          </w:rPr>
          <w:t xml:space="preserve">от 21 марта 2024 года № 92</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Порядок таможенного декларирования наличной валюты и ценных бумаг</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перемещении через таможенную границу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Основные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Порядок таможенного декларирования наличной валюты и ценных бумаг при перемещении через таможенную границу Приднестровской Молдавской Республики наличной валюты и ценных бумаг (далее - Порядок) определяет порядок и особенности таможенного декларирования наличной иностранной валюты, ценных бумаг в иностранной валюте, валюты Приднестровской Молдавской Республики и ценных бумаг в валюте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Таможенное декларирование и таможенное оформление товаров, ввозимых в соответствии с настоящим Порядком, осуществляется в местах, определенных нормативным правовым актом таможенного органа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целей настоящего Порядка используются следующие основные понятия: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валюта Приднестровской Молдавской Республики - находящиеся в обращении, а также изъятые или изымаемые из обращения, но подлежащие обмену рубли в виде банковских билетов (банкнот) и монет Приднестровского республиканского банка (далее – наличная валюта);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ценные бумаги в валюте Приднестровской Молдавской Республики - платежные документы (чеки, векселя, аккредитивы и другие), фондовые ценности (акции, облигации) и другие долговые обязательства, выраженные в рублях Приднестровской Молдавской Республики (далее – ценные бумаги);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иностранная валюта - денежные знаки в виде банкнот, казначейских билетов, монеты, находящиеся в обращении и являющиеся законным платежным средством в соответствующем иностранном государстве или группе государств, а также изъятые или изымаемые из обращения, но подлежащие обмену денежные знаки;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ценные бумаги в иностранной валюте - платежные документы (чеки, векселя, аккредитивы и другие), фондовые ценности (акции, облигации) и другие долговые обязательства, выраженные в иностранной валюте.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Валютные ценности включают в себя иностранную валюту и ценные бумаги в иностранной валюте.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Порядок таможенного декларирования наличной валюты, ценных бумаг</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валютных ценностей при ввозе в Приднестровскую Молдавскую Республику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Ввоз на таможенную территорию Приднестровской Молдавской Республики (далее – таможенная территория) наличной валюты, ценных бумаг и валютных ценностей осуществляется без ограничений.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Документом, подтверждающим ввоз на таможенную территорию наличной валюты, ценных бумаг и валютных ценностей, является таможенная декларация, на основании которой такие наличная валюта, ценные бумаги и валютные ценности ввезены на таможенную территорию.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Таможенное декларирование наличной валюты, ценных бумаг и валютных ценностей физическими лицами осуществляется: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устной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письменной форме с использованием таможенной декларации в виде документа на бумажном носителе: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 ввозе на таможенную территорию наличной иностранной валюты и (или) дорожных чеков в сумме, превышающей в эквиваленте 5 000 (пять тысяч) долларов США, предполагаемых к последующему вывозу с таможенной территории;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 желанию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Юридическими лицами таможенное декларирование наличной валюты, ценных бумаг и валютных ценностей осуществляется с использованием таможенной декларации в виде электронного документа.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Порядок таможенного декларирования наличной валюты, ценных бумаг и валютных ценностей при вывозе из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При единовременном вывозе физическими лицами из Приднестровской Молдавской Республики наличной иностранной валюты и чеков в иностранной валюте в сумме, не превышающей в эквиваленте 5 000 (пять тысяч) долларов США по официальному курсу Приднестровского республиканского банка, действующему на день её перемещения, не требуется представление таможенному органу документов, подтверждающих, что вывозимая иностранная валюта или чеки в иностранной валюте были ранее переведены, ввезены или пересланы в Приднестровскую Молдавскую Республику либо приобретены на территории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При единовременном вывозе из Приднестровской Молдавской Республики наличной иностранной валюты и чеков в иностранной валюте, ранее ввезенных в Приднестровскую Молдавскую Республику, в сумме, превышающей в эквиваленте 5 000 (пять тысяч) долларов США по официальному курсу Приднестровского республиканского банка, действующему на день её перемещения, физические лица представляют таможенным органам таможенную декларацию, подтверждающую ввоз в Приднестровскую Молдавскую Республику наличной иностранной валюты и чеков в иностранной валюте.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При единовременном вывозе из Приднестровской Молдавской Республики наличной иностранной валюты и чеков в иностранной валюте, ранее переведенных или пересланных в Приднестровскую Молдавскую Республику, либо приобретенных на территории Приднестровской Молдавской Республики, в сумме, превышающей в эквиваленте 5 000 (пять тысяч) долларов США по официальному курсу Приднестровского республиканского банка, действующему на день её перемещения, физические лица представляют таможенным органам «Разрешение на вывоз ценностей в иностранной валюте», выданное уполномоченным банком в установленном порядке.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Вывоз из Приднестровской Молдавской Республики ценных бумаг и ценных бумаг в иностранной валюте (кроме чеков) осуществляется физическими лицами без ограничений.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Вывоз из Приднестровской Молдавской Республики ценных бумаг и ценных бумаг в иностранной валюте осуществляется юридическими лицами без ограничений.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При единовременном вывозе из Приднестровской Молдавской Республики наличной валюты в виде банкнот и монет из недрагоценных металлов в сумме, не превышающей в эквиваленте 5 000 (пять тысяч) долларов США по официальному курсу Приднестровского республиканского банка, действующему на день её перемещения, письменное таможенное декларирование осуществляется физическими лицами по желанию.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Единовременный вывоз наличной валюты в виде монет из драгоценных металлов, в пределах суммы, установленной частью первой настоящего пункта, осуществляется физическими лицами исходя из цены реализации, направляемой Приднестровским республиканским банком в адрес Государственного таможенного комитета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Вывоз из Приднестровской Молдавской Республики физическими лицами наличной валюты в виде банкнот и монет из недрагоценных металлов в сумме, превышающей установленный частью первой настоящего пункта размер, запрещен.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При единовременном вывозе из Приднестровской Молдавской Республики наличной валюты в виде монет из драгоценных металлов в сумме, превышающей установленный частью первой пункта 12 настоящего Порядка размер, физические лица предоставляют таможенным органам документы, подтверждающие приобретение монет из драгоценных металлов на территории Приднестровской Молдавской Республики или таможенную декларацию, на основании которой такая наличная валюта в виде монет из драгоценных металлов помещена под соответствующую таможенную процедуру при ее ввозе на таможенную территорию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Вместо одной иностранной валюты, ранее ввезенной в Приднестровскую Молдавскую Республику, допускается вывоз другой иностранной валюты в сумме, не превышающей эквивалента ввезенной иностранной валюты, зарегистрированной в таможенной декларации при въезде в Приднестровскую Молдавскую Республику. Пересчет сумм ценностей в иностранной валюте, вывозимых физическими лицами из Приднестровской Молдавской Республики для целей настоящего Порядка осуществляется с использованием официального курса рубля Приднестровской Молдавской Республики к иностранным валютам, установленного Приднестровским республиканским банком на дату таможенного оформления вывозимых ценностей в иностранной валюте.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Вывоз иностранной валюты осуществляется юридическими лицами на основании выданных Приднестровским республиканским банком соответствующих разрешений на вывоз.</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Отечественные физические лица, действующие в интересах отечественных юридических лиц в целях ввоза товара за наличную иностранную валюту без заключения внешнеэкономических договоров (контрактов), а также индивидуальные предприниматели и главы крестьянских (фермерских) хозяйств для осуществления расчётов в наличной иностранной валюте по внешнеэкономическим сделкам, предусматривающим импорт товаров в Приднестровскую Молдавскую Республику без заключения внешнеэкономических договоров (контрактов) лично или через членов, состоящих в крестьянском (фермерском) хозяйстве, или наемных работников, привлеченных индивидуальным предпринимателем по договорам гражданско-правового характера для осуществления предпринимательской деятельности, единовременно вывозят наличную иностранную валюту в размере, не превышающем установленную нормативным правовым актом Приднестровского республиканского банка сумму разрешенного незакрытого остатка по документам валютного контроля, оформленным при снятии денежных средств в иностранной валюте со своего (своих) счета (счетов).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Таможенное декларирование юридическими лицами наличной валюты, ценных бумаг и валютных ценностей осуществляется с использованием таможенной декларации в виде электронного документа.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Таможенное декларирование отечественными физическими лицами, действующими в интересах отечественных юридических лиц в целях ввоза товара за наличную иностранную валюту без заключения внешнеэкономических договоров (контрактов), а также индивидуальными предпринимателями и главами крестьянских (фермерских) хозяйств для осуществления расчётов в наличной иностранной валюте по внешнеэкономическим сделкам, предусматривающим импорт товаров в Приднестровскую Молдавскую Республику без заключения внешнеэкономических договоров (контрактов) лично или через членов, состоящих в крестьянском (фермерском) хозяйстве, или наемных работников, привлеченных индивидуальным предпринимателем, наличной иностранной валюты осуществляется в письменной форме с применением бланка таможенной декларации в виде документа на бумажном носителе.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Таможенное декларирование в письменной форме с использованием таможенной декларации в виде документа на бумажном носителе осуществляется физическими лицами в отношении: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вывозимой из Приднестровской Молдавской Республики наличной валюты в виде монет из драгоценных металлов в сумме, превышающей в эквиваленте 5 000 (пять тысяч) долларов США, исходя из цены реализации, установленной Приднестровским республиканским банком;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вывозимых из Приднестровской Молдавской Республики наличной иностранной валюты и дорожных чеков в иностранной валюте в сумме, превышающей в эквиваленте 5 000 (пять тысяч) долларов США.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отношении наличной валюты, ценных бумаг и валютных ценностей, не указанных в части первой настоящего пункта, таможенное декларирование осуществляется в устной форме.</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1%20%D1%8F%D0%BD%D0%B2%D0%B0%D1%80%D1%8F%202001%20%D0%B3%D0%BE%D0%B4%D0%B0%20%E2%84%96%209-%D0%9F%20%C2%AB%D0%9E%20%D0%BF%D0%BE%D1%80%D1%8F%D0%B4%D0%BA%D0%B5%20%D0%B2%D0%B2%D0%BE%D0%B7%D0%B0%20%D0%B2%20%D0%9F%D1%80%D0%B8%D0%B4%D0%BD%D0%B5%D1%81%D1%82%D1%80%D0%BE%D0%B2%D1%81%D0%BA%D1%83%D1%8E%20%D0%9C%D0%BE%D0%BB%D0%B4%D0%B0%D0%B2%D1%81%D0%BA%D1%83%D1%8E%20%D0%A0%D0%B5%D1%81%D0%BF%D1%83%D0%B1%D0%BB%D0%B8%D0%BA%D1%83%20%D0%B8%20%D0%B2%D1%8B%D0%B2%D0%BE%D0%B7%D0%B0%20%D0%B8%D0%B7%20%D0%9F%D1%80%D0%B8%D0%B4%D0%BD%D0%B5%D1%81%D1%82%D1%80%D0%BE%D0%B2%D1%81%D0%BA%D0%BE%D0%B9%20%D0%9C%D0%BE%D0%BB%D0%B4%D0%B0%D0%B2%D1%81%D0%BA%D0%BE%D0%B9%20%D0%A0%D0%B5%D1%81%D0%BF%D1%83%D0%B1%D0%BB%D0%B8%D0%BA%D0%B8%20%D0%BD%D0%B0%D0%BB%D0%B8%D1%87%D0%BD%D0%BE%D0%B9%20%D0%B8%D0%BD%D0%BE%D1%81%D1%82%D1%80%D0%B0%D0%BD%D0%BD%D0%BE%D0%B9%20%D0%B2%D0%B0%D0%BB%D1%8E%D1%82%D1%8B%20%D0%B8%20%D1%86%D0%B5%D0%BD%D0%BD%D1%8B%D1%85%20%D0%B1%D1%83%D0%BC%D0%B0%D0%B3%20%D0%B2%20%D0%B8%D0%BD%D0%BE%D1%81%D1%82%D1%80%D0%B0%D0%BD%D0%BD%D0%BE%D0%B9%20%D0%B2%D0%B0%D0%BB%D1%8E%D1%82%D0%B5%C2%BB" TargetMode="External"/><Relationship Id="rId6" Type="http://schemas.openxmlformats.org/officeDocument/2006/relationships/hyperlink" Target="documents/search/doc-link/?q=%D0%BE%D1%82%2022%20%D0%BC%D0%B0%D1%8F%202002%20%D0%B3%D0%BE%D0%B4%D0%B0%20%E2%84%96%2060-%D0%A3" TargetMode="External"/><Relationship Id="rId7" Type="http://schemas.openxmlformats.org/officeDocument/2006/relationships/hyperlink" Target="documents/search/doc-link/?q=%D0%BE%D1%82%2014%20%D1%8F%D0%BD%D0%B2%D0%B0%D1%80%D1%8F%202004%20%D0%B3%D0%BE%D0%B4%D0%B0%20%E2%84%96%20118-%D0%A3" TargetMode="External"/><Relationship Id="rId8" Type="http://schemas.openxmlformats.org/officeDocument/2006/relationships/hyperlink" Target="documents/search/doc-link/?q=%D0%BE%D1%82%208%20%D0%B0%D0%B2%D0%B3%D1%83%D1%81%D1%82%D0%B0%202006%20%D0%B3%D0%BE%D0%B4%D0%B0%20%E2%84%96%20206-%D0%A3" TargetMode="External"/><Relationship Id="rId9" Type="http://schemas.openxmlformats.org/officeDocument/2006/relationships/hyperlink" Target="documents/search/doc-link/?q=%D0%BE%D1%82%2010%20%D0%BE%D0%BA%D1%82%D1%8F%D0%B1%D1%80%D1%8F%202008%20%D0%B3%D0%BE%D0%B4%D0%B0%20%E2%84%96%20275-%D0%A3" TargetMode="External"/><Relationship Id="rId10" Type="http://schemas.openxmlformats.org/officeDocument/2006/relationships/hyperlink" Target="documents/search/doc-link/?q=%D0%BE%D1%82%2026%20%D0%B0%D0%B2%D0%B3%D1%83%D1%81%D1%82%D0%B0%202010%20%D0%B3%D0%BE%D0%B4%D0%B0%20%E2%84%96%20398-%D0%A3" TargetMode="External"/><Relationship Id="rId11" Type="http://schemas.openxmlformats.org/officeDocument/2006/relationships/hyperlink" Target="documents/search/doc-link/?q=%D0%BE%D1%82%203%20%D0%BC%D0%B0%D1%80%D1%82%D0%B0%202011%20%D0%B3%D0%BE%D0%B4%D0%B0%20%E2%84%96%20442-%D0%A3" TargetMode="External"/><Relationship Id="rId12" Type="http://schemas.openxmlformats.org/officeDocument/2006/relationships/hyperlink" Target="documents/search/doc-link/?q=%D0%BE%D1%82%2020%20%D1%84%D0%B5%D0%B2%D1%80%D0%B0%D0%BB%D1%8F%202013%20%D0%B3%D0%BE%D0%B4%D0%B0%20%E2%84%96%20666-%D0%A3" TargetMode="External"/><Relationship Id="rId13" Type="http://schemas.openxmlformats.org/officeDocument/2006/relationships/hyperlink" Target="documents/search/doc-link/?q=%D0%BE%D1%82%2021%20%D0%BD%D0%BE%D1%8F%D0%B1%D1%80%D1%8F%202013%20%D0%B3%D0%BE%D0%B4%D0%B0%20%E2%84%96%20732-%D0%A3" TargetMode="External"/><Relationship Id="rId14" Type="http://schemas.openxmlformats.org/officeDocument/2006/relationships/hyperlink" Target="documents/search/doc-link/?q=%D0%BE%D1%82%2026%20%D0%B4%D0%B5%D0%BA%D0%B0%D0%B1%D1%80%D1%8F%202014%20%D0%B3%D0%BE%D0%B4%D0%B0%20%E2%84%96%20825-%D0%A3" TargetMode="External"/><Relationship Id="rId15" Type="http://schemas.openxmlformats.org/officeDocument/2006/relationships/hyperlink" Target="documents/search/doc-link/?q=%D0%BE%D1%82%209%20%D0%BC%D0%B0%D1%80%D1%82%D0%B0%202016%20%D0%B3%D0%BE%D0%B4%D0%B0%20%E2%84%96%20898-%D0%A3" TargetMode="External"/><Relationship Id="rId16" Type="http://schemas.openxmlformats.org/officeDocument/2006/relationships/hyperlink" Target="documents/search/doc-link/?q=%D0%BE%D1%82%2026%20%D1%8F%D0%BD%D0%B2%D0%B0%D1%80%D1%8F%202018%20%D0%B3%D0%BE%D0%B4%D0%B0%20%E2%84%96%201034-%D0%A3" TargetMode="External"/><Relationship Id="rId17" Type="http://schemas.openxmlformats.org/officeDocument/2006/relationships/hyperlink" Target="documents/search/doc-link/?q=%D0%BE%D1%82%2016%20%D1%84%D0%B5%D0%B2%D1%80%D0%B0%D0%BB%D1%8F%202018%20%D0%B3%D0%BE%D0%B4%D0%B0%20%E2%84%96%201044-%D0%A3" TargetMode="External"/><Relationship Id="rId18" Type="http://schemas.openxmlformats.org/officeDocument/2006/relationships/hyperlink" Target="documents/search/doc-link/?q=%D0%BE%D1%82%204%20%D0%B0%D0%BF%D1%80%D0%B5%D0%BB%D1%8F%202006%20%D0%B3%D0%BE%D0%B4%D0%B0%20%E2%84%96%2035-%D0%9F%20%C2%AB%D0%9E%20%D0%BF%D0%BE%D1%80%D1%8F%D0%B4%D0%BA%D0%B5%20%D0%B2%D0%B2%D0%BE%D0%B7%D0%B0%20%D0%B2%20%D0%9F%D1%80%D0%B8%D0%B4%D0%BD%D0%B5%D1%81%D1%82%D1%80%D0%BE%D0%B2%D1%81%D0%BA%D1%83%D1%8E%20%D0%9C%D0%BE%D0%BB%D0%B4%D0%B0%D0%B2%D1%81%D0%BA%D1%83%D1%8E%20%D0%A0%D0%B5%D1%81%D0%BF%D1%83%D0%B1%D0%BB%D0%B8%D0%BA%D1%83%20%D0%B8%20%D0%B2%D1%8B%D0%B2%D0%BE%D0%B7%D0%B0%20%D0%B8%D0%B7%20%D0%9F%D1%80%D0%B8%D0%B4%D0%BD%D0%B5%D1%81%D1%82%D1%80%D0%BE%D0%B2%D1%81%D0%BA%D0%BE%D0%B9%20%D0%9C%D0%BE%D0%BB%D0%B4%D0%B0%D0%B2%D1%81%D0%BA%D0%BE%D0%B9%20%D0%A0%D0%B5%D1%81%D0%BF%D1%83%D0%B1%D0%BB%D0%B8%D0%BA%D0%B8%20%D0%BD%D0%B0%D0%BB%D0%B8%D1%87%D0%BD%D0%BE%D0%B9%20%D0%B2%D0%B0%D0%BB%D1%8E%D1%82%D1%8B%20%D0%9F%D1%80%D0%B8%D0%B4%D0%BD%D0%B5%D1%81%D1%82%D1%80%D0%BE%D0%B2%D1%81%D0%BA%D0%BE%D0%B9%20%D0%9C%D0%BE%D0%BB%D0%B4%D0%B0%D0%B2%D1%81%D0%BA%D0%BE%D0%B9%20%D0%A0%D0%B5%D1%81%D0%BF%D1%83%D0%B1%D0%BB%D0%B8%D0%BA%D0%B8%20%D1%84%D0%B8%D0%B7%D0%B8%D1%87%D0%B5%D1%81%D0%BA%D0%B8%D0%BC%D0%B8%20%D0%BB%D0%B8%D1%86%D0%B0%D0%BC%D0%B8%C2%BB" TargetMode="External"/><Relationship Id="rId19" Type="http://schemas.openxmlformats.org/officeDocument/2006/relationships/hyperlink" Target="documents/search/doc-link/?q=%D0%BE%D1%82%2015%20%D0%BC%D0%B0%D1%8F%202007%20%D0%B3%D0%BE%D0%B4%D0%B0%20%E2%84%96%20244-%D0%A3" TargetMode="External"/><Relationship Id="rId20" Type="http://schemas.openxmlformats.org/officeDocument/2006/relationships/hyperlink" Target="documents/search/doc-link/?q=%D0%BE%D1%82%2013%20%D0%BD%D0%BE%D1%8F%D0%B1%D1%80%D1%8F%202019%20%D0%B3%D0%BE%D0%B4%D0%B0%20%E2%84%96%201204-%D0%A3" TargetMode="External"/><Relationship Id="rId21" Type="http://schemas.openxmlformats.org/officeDocument/2006/relationships/hyperlink" Target="documents/search/doc-link/?q=%D0%BE%D1%82%2021%20%D0%BC%D0%B0%D1%80%D1%82%D0%B0%202024%20%D0%B3%D0%BE%D0%B4%D0%B0%20%E2%84%96%2092"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1789</Words>
  <Characters>12550</Characters>
  <CharactersWithSpaces>14362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