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дополнений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20 декабря 2021 года № 413</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передача и снабжение электрической энергией» (регистрационный № 10808 от 15 февраля 2022 года) (САЗ 22-6)</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17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12600</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20 декабря 2021 года № 413</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передача и снабжение электрической энергией»  (регистрационный № 10808 от 15 февраля 2022 года) (САЗ 22-6)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 е) пункта 16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«е) Постановление Правительства Приднестровской Молдавской Республики </w:t>
      </w:r>
      <w:hyperlink r:id="rId31">
        <w:r>
          <w:rPr>
            <w:rFonts w:ascii="times new roman;times" w:hAnsi="times new roman;times"/>
            <w:sz w:val="24"/>
            <w:color w:val="0563C1"/>
            <w:u w:val="single"/>
          </w:rPr>
          <w:t xml:space="preserve">от 24 декабря 2013 года № 317 «Об утверждении положений о лицензировании некоторых видов деятельности в электроэнергетике» (САЗ 13-51)</w:t>
        </w:r>
      </w:hyperlink>
      <w:r>
        <w:rPr>
          <w:rFonts w:ascii="times new roman;times" w:hAnsi="times new roman;times"/>
          <w:sz w:val="24"/>
        </w:rPr>
        <w:t xml:space="preserve"> с изменениями, внесенными Постановлением Правительства Приднестровской Молдавской Республики </w:t>
      </w:r>
      <w:hyperlink r:id="rId32">
        <w:r>
          <w:rPr>
            <w:rFonts w:ascii="times new roman;times" w:hAnsi="times new roman;times"/>
            <w:sz w:val="24"/>
            <w:color w:val="0563C1"/>
            <w:u w:val="single"/>
          </w:rPr>
          <w:t xml:space="preserve">от 15 июля 2022 года № 269 (САЗ 22-27)</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25 мая 2023 года № 176 (САЗ 23-21)</w:t>
        </w:r>
      </w:hyperlink>
      <w:r>
        <w:rPr>
          <w:rFonts w:ascii="times new roman;times" w:hAnsi="times new roman;times"/>
          <w:sz w:val="24"/>
        </w:rPr>
        <w:t xml:space="preserve"> (далее - Постановление Правительства </w:t>
      </w:r>
      <w:hyperlink r:id="rId34">
        <w:r>
          <w:rPr>
            <w:rFonts w:ascii="times new roman;times" w:hAnsi="times new roman;times"/>
            <w:sz w:val="24"/>
            <w:color w:val="0563C1"/>
            <w:u w:val="single"/>
          </w:rPr>
          <w:t xml:space="preserve">от 24 декабря 2013 года № 317</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r>
        <w:rPr>
          <w:rFonts w:ascii="times new roman;times" w:hAnsi="times new roman;times"/>
          <w:sz w:val="24"/>
        </w:rPr>
        <w:t>б) подпункт в) части первой пункта 17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сведения о наличии оборудования, каналов связи, помещения и иных средств, необходимых для осуществления лицензируемой деятельности (далее – средства оперативно-диспетчерского управления) (заверенные копии документов, удостоверяющих законность владения (пользования)) по форме, установленной Постановлением Правительства </w:t>
      </w:r>
      <w:hyperlink r:id="rId34">
        <w:r>
          <w:rPr>
            <w:rFonts w:ascii="times new roman;times" w:hAnsi="times new roman;times"/>
            <w:sz w:val="24"/>
            <w:color w:val="0563C1"/>
            <w:u w:val="single"/>
          </w:rPr>
          <w:t xml:space="preserve">от 24 декабря 2013 года № 317</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дополнить часть первую пункта 17 Приложения к Приказу подпунктом г)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сведения об объекте, в котором или с помощью которого будет осуществляться лицензируемая деятельность (заверенные копии документов, удостоверяющих законность владения (пользования));»;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25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За выдачу лицензии взимается лицензионный сбор, исчисляемый в расчетных уровнях минимальной заработной платы (далее – РУ МЗП), в соответствии с Законом «О лицензировании отдельных видов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Лицензионный сбор за выдачу лицензии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400 (четырехсот)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РУ МЗП;</w:t>
      </w:r>
    </w:p>
    <w:p>
      <w:pPr>
        <w:pStyle w:val="BodyTextoutside-table"/>
        <w:bidi w:val="0"/>
        <w:spacing w:before="0" w:after="283"/>
        <w:ind w:firstLine="709" w:left="0" w:right="0"/>
        <w:jc w:val="left"/>
        <w:rPr/>
      </w:pPr>
      <w:r>
        <w:rPr>
          <w:rFonts w:ascii="times new roman;times" w:hAnsi="times new roman;times"/>
          <w:sz w:val="24"/>
        </w:rPr>
        <w:t xml:space="preserve">в) свыше 10 (десяти) лет, в том числе бессрочно, – в размере </w:t>
      </w:r>
      <w:r>
        <w:rPr/>
        <w:br/>
      </w:r>
      <w:r>
        <w:rPr>
          <w:rFonts w:ascii="times new roman;times" w:hAnsi="times new roman;times"/>
          <w:sz w:val="24"/>
        </w:rPr>
        <w:t>1 000 (одной тысячи)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июля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193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5">
        <w:r>
          <w:rPr>
            <w:rFonts w:ascii="times new roman;times" w:hAnsi="times new roman;times"/>
            <w:sz w:val="20"/>
            <w:color w:val="0563C1"/>
            <w:u w:val="single"/>
          </w:rPr>
          <w:t xml:space="preserve">от 3 июля 2024 года № 193</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передача и снабжение электрической энергией»</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5">
        <w:r>
          <w:rPr>
            <w:rFonts w:ascii="times new roman;times" w:hAnsi="times new roman;times"/>
            <w:sz w:val="20"/>
            <w:color w:val="0563C1"/>
            <w:u w:val="single"/>
          </w:rPr>
          <w:t xml:space="preserve">от 3 июля 2024 года № 193</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передача и снабжение электрической энергией»</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t xml:space="preserve">                                      </w:t>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0%20%D0%B4%D0%B5%D0%BA%D0%B0%D0%B1%D1%80%D1%8F%202021%20%D0%B3%D0%BE%D0%B4%D0%B0%20%E2%84%96%20413"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4%20%D0%B4%D0%B5%D0%BA%D0%B0%D0%B1%D1%80%D1%8F%202013%20%D0%B3%D0%BE%D0%B4%D0%B0%20%E2%84%96%20317%20%C2%AB%D0%9E%D0%B1%20%D1%83%D1%82%D0%B2%D0%B5%D1%80%D0%B6%D0%B4%D0%B5%D0%BD%D0%B8%D0%B8%20%D0%BF%D0%BE%D0%BB%D0%BE%D0%B6%D0%B5%D0%BD%D0%B8%D0%B9%20%D0%BE%20%D0%BB%D0%B8%D1%86%D0%B5%D0%BD%D0%B7%D0%B8%D1%80%D0%BE%D0%B2%D0%B0%D0%BD%D0%B8%D0%B8%20%D0%BD%D0%B5%D0%BA%D0%BE%D1%82%D0%BE%D1%80%D1%8B%D1%85%20%D0%B2%D0%B8%D0%B4%D0%BE%D0%B2%20%D0%B4%D0%B5%D1%8F%D1%82%D0%B5%D0%BB%D1%8C%D0%BD%D0%BE%D1%81%D1%82%D0%B8%20%D0%B2%20%D1%8D%D0%BB%D0%B5%D0%BA%D1%82%D1%80%D0%BE%D1%8D%D0%BD%D0%B5%D1%80%D0%B3%D0%B5%D1%82%D0%B8%D0%BA%D0%B5%C2%BB%20%28%D0%A1%D0%90%D0%97%2013-51%29" TargetMode="External"/><Relationship Id="rId32" Type="http://schemas.openxmlformats.org/officeDocument/2006/relationships/hyperlink" Target="documents/search/doc-link/?q=%D0%BE%D1%82%2015%20%D0%B8%D1%8E%D0%BB%D1%8F%202022%20%D0%B3%D0%BE%D0%B4%D0%B0%20%E2%84%96%20269%20%28%D0%A1%D0%90%D0%97%2022-27%29" TargetMode="External"/><Relationship Id="rId33" Type="http://schemas.openxmlformats.org/officeDocument/2006/relationships/hyperlink" Target="documents/search/doc-link/?q=%D0%BE%D1%82%2025%20%D0%BC%D0%B0%D1%8F%202023%20%D0%B3%D0%BE%D0%B4%D0%B0%20%E2%84%96%20176%20%28%D0%A1%D0%90%D0%97%2023-21%29" TargetMode="External"/><Relationship Id="rId34" Type="http://schemas.openxmlformats.org/officeDocument/2006/relationships/hyperlink" Target="documents/search/doc-link/?q=%D0%BE%D1%82%2024%20%D0%B4%D0%B5%D0%BA%D0%B0%D0%B1%D1%80%D1%8F%202013%20%D0%B3%D0%BE%D0%B4%D0%B0%20%E2%84%96%20317" TargetMode="External"/><Relationship Id="rId35" Type="http://schemas.openxmlformats.org/officeDocument/2006/relationships/hyperlink" Target="documents/search/doc-link/?q=%D0%BE%D1%82%203%20%D0%B8%D1%8E%D0%BB%D1%8F%202024%20%D0%B3%D0%BE%D0%B4%D0%B0%20%E2%84%96%20193"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1697</Words>
  <Characters>13955</Characters>
  <CharactersWithSpaces>16170</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