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289</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деятельность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100 (сто) и более киловатт» (регистрационный № 10613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12598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289</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деятельность по производству электрической энергии (в том числе комбинированному производству тепловой и электрической энергии, а также из возобновляемых источников энергии) при условии использования в производстве электрической энергии генерирующего оборудования (установки) установленной генерирующей мощностью 100 (сто) и более киловатт» (регистрационный № 10613 от 5 ноября 2021 года) (САЗ 21-44) с изменениями,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12 сентября 2023 года № 249</w:t>
        </w:r>
      </w:hyperlink>
      <w:r>
        <w:rPr>
          <w:rFonts w:ascii="times new roman;times" w:hAnsi="times new roman;times"/>
          <w:sz w:val="24"/>
        </w:rPr>
        <w:t xml:space="preserve"> (регистрационный № 11980 от 15 сентября 2023 года) (САЗ 23-37),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171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24 июня 2024 года № 171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деятельность по производству электрической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том числе комбинированному производству тепловой 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электрической энергии, а также из возобновляемых источников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 условии использования в производстве электрической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генерирующего оборудования (установки)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установленной генерирующей мощностью 100 (сто) и более киловатт»</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24 июня 2024 года № 171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деятельность по производству электрической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том числе комбинированному производству тепловой 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электрической энергии, а также из возобновляемых источников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 условии использования в производстве электрической энергии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генерирующего оборудования (установки)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установленной генерирующей мощностью 100 (сто) и более киловатт»</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t xml:space="preserve">                     </w:t>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2%20%D1%81%D0%B5%D0%BD%D1%82%D1%8F%D0%B1%D1%80%D1%8F%202023%20%D0%B3%D0%BE%D0%B4%D0%B0%20%E2%84%96%20249" TargetMode="External"/><Relationship Id="rId32" Type="http://schemas.openxmlformats.org/officeDocument/2006/relationships/hyperlink" Target="documents/search/doc-link/?q=%D0%BE%D1%82%2024%20%D0%B8%D1%8E%D0%BD%D1%8F%202024%20%D0%B3%D0%BE%D0%B4%D0%B0%20%E2%84%96%2017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1599</Words>
  <Characters>13569</Characters>
  <CharactersWithSpaces>15609</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