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13 мая 2015 года № 101</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w:t>
      </w:r>
    </w:p>
    <w:p>
      <w:pPr>
        <w:pStyle w:val="BodyTextoutside-table"/>
        <w:bidi w:val="0"/>
        <w:spacing w:before="0" w:after="283"/>
        <w:ind w:firstLine="709" w:left="0" w:right="0"/>
        <w:jc w:val="center"/>
        <w:rPr/>
      </w:pPr>
      <w:r>
        <w:rPr>
          <w:rStyle w:val="Strong"/>
          <w:rFonts w:ascii="times new roman;times" w:hAnsi="times new roman;times"/>
          <w:sz w:val="24"/>
        </w:rPr>
        <w:t>деятельности по заготовке и переработке</w:t>
      </w:r>
    </w:p>
    <w:p>
      <w:pPr>
        <w:pStyle w:val="BodyTextoutside-table"/>
        <w:bidi w:val="0"/>
        <w:spacing w:before="0" w:after="283"/>
        <w:ind w:firstLine="709" w:left="0" w:right="0"/>
        <w:jc w:val="center"/>
        <w:rPr/>
      </w:pPr>
      <w:r>
        <w:rPr>
          <w:rStyle w:val="Strong"/>
          <w:rFonts w:ascii="times new roman;times" w:hAnsi="times new roman;times"/>
          <w:sz w:val="24"/>
        </w:rPr>
        <w:t>лома цветных металлов и Правил обращения</w:t>
      </w:r>
    </w:p>
    <w:p>
      <w:pPr>
        <w:pStyle w:val="BodyTextoutside-table"/>
        <w:bidi w:val="0"/>
        <w:spacing w:before="0" w:after="283"/>
        <w:ind w:firstLine="709" w:left="0" w:right="0"/>
        <w:jc w:val="center"/>
        <w:rPr/>
      </w:pPr>
      <w:r>
        <w:rPr>
          <w:rStyle w:val="Strong"/>
          <w:rFonts w:ascii="times new roman;times" w:hAnsi="times new roman;times"/>
          <w:sz w:val="24"/>
        </w:rPr>
        <w:t>с ломом и отходами черных и цветных металлов»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13 мая 2015 года № 101 «Об утверждении Положения 
о лицензировании деятельности по заготовке и переработке лома цветных металлов и Правил обращения с ломом и отходами черных и цветных металлов» (САЗ 15-20)</w:t>
        </w:r>
      </w:hyperlink>
      <w:r>
        <w:rPr>
          <w:rFonts w:ascii="times new roman;times" w:hAnsi="times new roman;times"/>
          <w:sz w:val="24"/>
        </w:rPr>
        <w:t xml:space="preserve"> с изменениями, внесенными постановлениями Правительства Приднестровской Молдавской Республики </w:t>
      </w:r>
      <w:hyperlink r:id="rId27">
        <w:r>
          <w:rPr>
            <w:rFonts w:ascii="times new roman;times" w:hAnsi="times new roman;times"/>
            <w:sz w:val="24"/>
            <w:color w:val="0563C1"/>
            <w:u w:val="single"/>
          </w:rPr>
          <w:t xml:space="preserve">от 29 марта 
2018 года № 91 (САЗ 18-13)</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9 октября 2018 года № 347 (САЗ 18-41)</w:t>
        </w:r>
      </w:hyperlink>
      <w:r>
        <w:rPr>
          <w:rFonts w:ascii="times new roman;times" w:hAnsi="times new roman;times"/>
          <w:sz w:val="24"/>
        </w:rPr>
        <w:t xml:space="preserve">, </w:t>
      </w:r>
      <w:r>
        <w:rPr/>
        <w:t xml:space="preserve">
</w:t>
      </w:r>
      <w:hyperlink r:id="rId29">
        <w:r>
          <w:rPr>
            <w:rFonts w:ascii="times new roman;times" w:hAnsi="times new roman;times"/>
            <w:sz w:val="24"/>
            <w:color w:val="0563C1"/>
            <w:u w:val="single"/>
          </w:rPr>
          <w:t xml:space="preserve">от 18 августа 2020 года № 289 (САЗ 20-34)</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подпункте г) пункта 4 Приложения № 1 к Постановлению слова «законность владения (пользования)» заменить словами «законность пользования»;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8 Приложения № 1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действия лицензии определяется по заявлению соискателя лицензии (лицензиата), но не может быть менее 5 (пяти) лет.</w:t>
      </w:r>
    </w:p>
    <w:p>
      <w:pPr>
        <w:pStyle w:val="BodyTextoutside-table"/>
        <w:bidi w:val="0"/>
        <w:spacing w:before="0" w:after="283"/>
        <w:ind w:firstLine="709" w:left="0" w:right="0"/>
        <w:jc w:val="left"/>
        <w:rPr/>
      </w:pPr>
      <w:r>
        <w:rPr>
          <w:rFonts w:ascii="times new roman;times" w:hAnsi="times new roman;times"/>
          <w:sz w:val="24"/>
        </w:rPr>
        <w:t xml:space="preserve">Срок действия лицензии по его окончании может быть продлен по заявлению лицензиата. Продление срока действия лицензии осуществляется </w:t>
      </w:r>
      <w:r>
        <w:rPr/>
        <w:br/>
      </w:r>
      <w:r>
        <w:rPr>
          <w:rFonts w:ascii="times new roman;times" w:hAnsi="times new roman;times"/>
          <w:sz w:val="24"/>
        </w:rPr>
        <w:t>в порядке ее переоформления.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окончании срока действия лицензии в продлении срока действия лицензии может быть отказано в случае, если за время действия лицензии зафиксированы нарушения лицензионных требований и условий»;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части первую и вторую пункта 9 Приложения № 1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«В случае преобразования юридического лица, изменения его наименования или места его нахождения, утраты лицензии, изменения адреса места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30">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обязан в течение 30 (тридцати) рабочих дней подать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 а в случае утраты лицензии – на основании выданной уполномоченным органом справки о приеме документов на переоформление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3%20%D0%BC%D0%B0%D1%8F%202015%20%D0%B3%D0%BE%D0%B4%D0%B0%20%E2%84%96%20101"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13%20%D0%BC%D0%B0%D1%8F%202015%20%D0%B3%D0%BE%D0%B4%D0%B0%20%E2%84%96%20101%20%C2%AB%D0%9E%D0%B1%20%D1%83%D1%82%D0%B2%D0%B5%D1%80%D0%B6%D0%B4%D0%B5%D0%BD%D0%B8%D0%B8%20%D0%9F%D0%BE%D0%BB%D0%BE%D0%B6%D0%B5%D0%BD%D0%B8%D1%8F%20%0A%D0%BE%20%D0%BB%D0%B8%D1%86%D0%B5%D0%BD%D0%B7%D0%B8%D1%80%D0%BE%D0%B2%D0%B0%D0%BD%D0%B8%D0%B8%20%D0%B4%D0%B5%D1%8F%D1%82%D0%B5%D0%BB%D1%8C%D0%BD%D0%BE%D1%81%D1%82%D0%B8%20%D0%BF%D0%BE%20%D0%B7%D0%B0%D0%B3%D0%BE%D1%82%D0%BE%D0%B2%D0%BA%D0%B5%20%D0%B8%20%D0%BF%D0%B5%D1%80%D0%B5%D1%80%D0%B0%D0%B1%D0%BE%D1%82%D0%BA%D0%B5%20%D0%BB%D0%BE%D0%BC%D0%B0%20%D1%86%D0%B2%D0%B5%D1%82%D0%BD%D1%8B%D1%85%20%D0%BC%D0%B5%D1%82%D0%B0%D0%BB%D0%BB%D0%BE%D0%B2%20%D0%B8%20%D0%9F%D1%80%D0%B0%D0%B2%D0%B8%D0%BB%20%D0%BE%D0%B1%D1%80%D0%B0%D1%89%D0%B5%D0%BD%D0%B8%D1%8F%20%D1%81%20%D0%BB%D0%BE%D0%BC%D0%BE%D0%BC%20%D0%B8%20%D0%BE%D1%82%D1%85%D0%BE%D0%B4%D0%B0%D0%BC%D0%B8%20%D1%87%D0%B5%D1%80%D0%BD%D1%8B%D1%85%20%D0%B8%20%D1%86%D0%B2%D0%B5%D1%82%D0%BD%D1%8B%D1%85%20%D0%BC%D0%B5%D1%82%D0%B0%D0%BB%D0%BB%D0%BE%D0%B2%C2%BB%20%28%D0%A1%D0%90%D0%97%2015-20%29" TargetMode="External"/><Relationship Id="rId27" Type="http://schemas.openxmlformats.org/officeDocument/2006/relationships/hyperlink" Target="documents/search/doc-link/?q=%D0%BE%D1%82%2029%20%D0%BC%D0%B0%D1%80%D1%82%D0%B0%20%0A2018%20%D0%B3%D0%BE%D0%B4%D0%B0%20%E2%84%96%2091%20%28%D0%A1%D0%90%D0%97%2018-13%29" TargetMode="External"/><Relationship Id="rId28" Type="http://schemas.openxmlformats.org/officeDocument/2006/relationships/hyperlink" Target="documents/search/doc-link/?q=%D0%BE%D1%82%209%20%D0%BE%D0%BA%D1%82%D1%8F%D0%B1%D1%80%D1%8F%202018%20%D0%B3%D0%BE%D0%B4%D0%B0%20%E2%84%96%20347%20%28%D0%A1%D0%90%D0%97%2018-41%29" TargetMode="External"/><Relationship Id="rId29" Type="http://schemas.openxmlformats.org/officeDocument/2006/relationships/hyperlink" Target="documents/search/doc-link/?q=%D0%BE%D1%82%2018%20%D0%B0%D0%B2%D0%B3%D1%83%D1%81%D1%82%D0%B0%202020%20%D0%B3%D0%BE%D0%B4%D0%B0%20%E2%84%96%20289%20%28%D0%A1%D0%90%D0%97%2020-34%29" TargetMode="External"/><Relationship Id="rId30"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666</Words>
  <Characters>3983</Characters>
  <CharactersWithSpaces>4686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